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2447" w:rsidRPr="00D11794" w:rsidRDefault="00A4540C" w:rsidP="008F008D">
      <w:pPr>
        <w:pStyle w:val="Default"/>
        <w:widowControl/>
        <w:tabs>
          <w:tab w:val="right" w:pos="10080"/>
        </w:tabs>
        <w:suppressAutoHyphens/>
        <w:spacing w:line="270" w:lineRule="exact"/>
        <w:jc w:val="both"/>
        <w:rPr>
          <w:sz w:val="20"/>
          <w:szCs w:val="20"/>
          <w:lang w:val="en-GB"/>
        </w:rPr>
      </w:pPr>
      <w:r>
        <w:rPr>
          <w:rFonts w:hint="eastAsia"/>
          <w:sz w:val="20"/>
          <w:szCs w:val="20"/>
          <w:lang w:val="en-GB" w:eastAsia="zh-TW"/>
        </w:rPr>
        <w:t>Taiwan</w:t>
      </w:r>
      <w:r w:rsidR="00D11794" w:rsidRPr="00D11794">
        <w:rPr>
          <w:sz w:val="20"/>
          <w:szCs w:val="20"/>
          <w:lang w:val="en-GB"/>
        </w:rPr>
        <w:t xml:space="preserve">, October </w:t>
      </w:r>
      <w:r>
        <w:rPr>
          <w:rFonts w:hint="eastAsia"/>
          <w:sz w:val="20"/>
          <w:szCs w:val="20"/>
          <w:lang w:val="en-GB" w:eastAsia="zh-TW"/>
        </w:rPr>
        <w:t>2</w:t>
      </w:r>
      <w:r w:rsidR="00F9457B">
        <w:rPr>
          <w:rFonts w:hint="eastAsia"/>
          <w:sz w:val="20"/>
          <w:szCs w:val="20"/>
          <w:lang w:val="en-GB" w:eastAsia="zh-TW"/>
        </w:rPr>
        <w:t>5</w:t>
      </w:r>
      <w:bookmarkStart w:id="0" w:name="_GoBack"/>
      <w:bookmarkEnd w:id="0"/>
      <w:r w:rsidR="00B917C5" w:rsidRPr="00D11794">
        <w:rPr>
          <w:sz w:val="20"/>
          <w:szCs w:val="20"/>
          <w:lang w:val="en-GB"/>
        </w:rPr>
        <w:t xml:space="preserve"> </w:t>
      </w:r>
      <w:r w:rsidR="00D11794" w:rsidRPr="00D11794">
        <w:rPr>
          <w:sz w:val="20"/>
          <w:szCs w:val="20"/>
          <w:lang w:val="en-GB"/>
        </w:rPr>
        <w:t>2018</w:t>
      </w:r>
    </w:p>
    <w:p w:rsidR="00CE2447" w:rsidRDefault="00D215AE" w:rsidP="008F008D">
      <w:pPr>
        <w:suppressAutoHyphens/>
        <w:spacing w:before="100" w:beforeAutospacing="1" w:after="100" w:afterAutospacing="1" w:line="270" w:lineRule="exact"/>
        <w:jc w:val="both"/>
        <w:rPr>
          <w:rFonts w:ascii="Arial" w:hAnsi="Arial" w:cs="Arial"/>
          <w:b/>
          <w:bCs/>
          <w:color w:val="000000"/>
          <w:sz w:val="26"/>
          <w:szCs w:val="26"/>
          <w:lang w:val="en-GB"/>
        </w:rPr>
      </w:pPr>
      <w:r>
        <w:rPr>
          <w:rFonts w:ascii="Arial" w:hAnsi="Arial" w:cs="Arial"/>
          <w:b/>
          <w:bCs/>
          <w:color w:val="000000"/>
          <w:sz w:val="26"/>
          <w:szCs w:val="26"/>
          <w:lang w:val="en-GB"/>
        </w:rPr>
        <w:t>Halfway through its trade diversification</w:t>
      </w:r>
      <w:r w:rsidR="00E628E3">
        <w:rPr>
          <w:rFonts w:ascii="Arial" w:hAnsi="Arial" w:cs="Arial"/>
          <w:b/>
          <w:bCs/>
          <w:color w:val="000000"/>
          <w:sz w:val="26"/>
          <w:szCs w:val="26"/>
          <w:lang w:val="en-GB"/>
        </w:rPr>
        <w:t xml:space="preserve"> process</w:t>
      </w:r>
      <w:r>
        <w:rPr>
          <w:rFonts w:ascii="Arial" w:hAnsi="Arial" w:cs="Arial"/>
          <w:b/>
          <w:bCs/>
          <w:color w:val="000000"/>
          <w:sz w:val="26"/>
          <w:szCs w:val="26"/>
          <w:lang w:val="en-GB"/>
        </w:rPr>
        <w:t xml:space="preserve">, the </w:t>
      </w:r>
      <w:r w:rsidR="000100A4">
        <w:rPr>
          <w:rFonts w:ascii="Arial" w:hAnsi="Arial" w:cs="Arial"/>
          <w:b/>
          <w:bCs/>
          <w:color w:val="000000"/>
          <w:sz w:val="26"/>
          <w:szCs w:val="26"/>
          <w:lang w:val="en-GB"/>
        </w:rPr>
        <w:t xml:space="preserve">United Arab Emirates is </w:t>
      </w:r>
      <w:r>
        <w:rPr>
          <w:rFonts w:ascii="Arial" w:hAnsi="Arial" w:cs="Arial"/>
          <w:b/>
          <w:bCs/>
          <w:color w:val="000000"/>
          <w:sz w:val="26"/>
          <w:szCs w:val="26"/>
          <w:lang w:val="en-GB"/>
        </w:rPr>
        <w:t>yet to be integrated into international value chains</w:t>
      </w:r>
    </w:p>
    <w:p w:rsidR="00D11794" w:rsidRPr="00D11794" w:rsidRDefault="00D11794">
      <w:pPr>
        <w:pStyle w:val="ListParagraph"/>
        <w:numPr>
          <w:ilvl w:val="0"/>
          <w:numId w:val="12"/>
        </w:numPr>
        <w:suppressAutoHyphens/>
        <w:spacing w:line="270" w:lineRule="exact"/>
        <w:jc w:val="both"/>
        <w:rPr>
          <w:rFonts w:ascii="Arial" w:hAnsi="Arial"/>
          <w:b/>
          <w:lang w:val="en-GB"/>
        </w:rPr>
      </w:pPr>
      <w:r>
        <w:rPr>
          <w:rFonts w:ascii="Arial" w:hAnsi="Arial"/>
          <w:b/>
          <w:lang w:val="en-GB"/>
        </w:rPr>
        <w:t xml:space="preserve">Thanks to its strategic location, the </w:t>
      </w:r>
      <w:r w:rsidR="00C9312B">
        <w:rPr>
          <w:rFonts w:ascii="Arial" w:hAnsi="Arial"/>
          <w:b/>
          <w:lang w:val="en-GB"/>
        </w:rPr>
        <w:t>United Arab Emirates (</w:t>
      </w:r>
      <w:r w:rsidR="008F008D">
        <w:rPr>
          <w:rFonts w:ascii="Arial" w:hAnsi="Arial"/>
          <w:b/>
          <w:lang w:val="en-GB"/>
        </w:rPr>
        <w:t>UAE</w:t>
      </w:r>
      <w:r w:rsidR="00C9312B">
        <w:rPr>
          <w:rFonts w:ascii="Arial" w:hAnsi="Arial"/>
          <w:b/>
          <w:lang w:val="en-GB"/>
        </w:rPr>
        <w:t>)</w:t>
      </w:r>
      <w:r w:rsidR="008F008D">
        <w:rPr>
          <w:rFonts w:ascii="Arial" w:hAnsi="Arial"/>
          <w:b/>
          <w:lang w:val="en-GB"/>
        </w:rPr>
        <w:t xml:space="preserve"> </w:t>
      </w:r>
      <w:r>
        <w:rPr>
          <w:rFonts w:ascii="Arial" w:hAnsi="Arial"/>
          <w:b/>
          <w:lang w:val="en-GB"/>
        </w:rPr>
        <w:t>play</w:t>
      </w:r>
      <w:r w:rsidR="00F76ED3">
        <w:rPr>
          <w:rFonts w:ascii="Arial" w:hAnsi="Arial"/>
          <w:b/>
          <w:lang w:val="en-GB"/>
        </w:rPr>
        <w:t>s</w:t>
      </w:r>
      <w:r>
        <w:rPr>
          <w:rFonts w:ascii="Arial" w:hAnsi="Arial"/>
          <w:b/>
          <w:lang w:val="en-GB"/>
        </w:rPr>
        <w:t xml:space="preserve"> a central role in </w:t>
      </w:r>
      <w:r w:rsidR="008F008D">
        <w:rPr>
          <w:rFonts w:ascii="Arial" w:hAnsi="Arial"/>
          <w:b/>
          <w:lang w:val="en-GB"/>
        </w:rPr>
        <w:t xml:space="preserve">regional </w:t>
      </w:r>
      <w:r>
        <w:rPr>
          <w:rFonts w:ascii="Arial" w:hAnsi="Arial"/>
          <w:b/>
          <w:lang w:val="en-GB"/>
        </w:rPr>
        <w:t xml:space="preserve">exports and re-exports, as </w:t>
      </w:r>
      <w:r w:rsidR="00F76ED3">
        <w:rPr>
          <w:rFonts w:ascii="Arial" w:hAnsi="Arial"/>
          <w:b/>
          <w:lang w:val="en-GB"/>
        </w:rPr>
        <w:t xml:space="preserve">demonstrated by </w:t>
      </w:r>
      <w:r>
        <w:rPr>
          <w:rFonts w:ascii="Arial" w:hAnsi="Arial"/>
          <w:b/>
          <w:lang w:val="en-GB"/>
        </w:rPr>
        <w:t>its various economic</w:t>
      </w:r>
      <w:r w:rsidR="00A40435">
        <w:rPr>
          <w:rFonts w:ascii="Arial" w:hAnsi="Arial"/>
          <w:b/>
          <w:lang w:val="en-GB"/>
        </w:rPr>
        <w:t xml:space="preserve"> and cooperation</w:t>
      </w:r>
      <w:r>
        <w:rPr>
          <w:rFonts w:ascii="Arial" w:hAnsi="Arial"/>
          <w:b/>
          <w:lang w:val="en-GB"/>
        </w:rPr>
        <w:t xml:space="preserve"> agreements with other countries</w:t>
      </w:r>
      <w:r w:rsidR="00F76ED3">
        <w:rPr>
          <w:rFonts w:ascii="Arial" w:hAnsi="Arial"/>
          <w:b/>
          <w:lang w:val="en-GB"/>
        </w:rPr>
        <w:t>.</w:t>
      </w:r>
    </w:p>
    <w:p w:rsidR="005132F3" w:rsidRPr="00D11794" w:rsidRDefault="00F76ED3">
      <w:pPr>
        <w:pStyle w:val="ListParagraph"/>
        <w:numPr>
          <w:ilvl w:val="0"/>
          <w:numId w:val="12"/>
        </w:numPr>
        <w:suppressAutoHyphens/>
        <w:spacing w:line="270" w:lineRule="exact"/>
        <w:jc w:val="both"/>
        <w:rPr>
          <w:rFonts w:ascii="Arial" w:hAnsi="Arial"/>
          <w:b/>
          <w:lang w:val="en-GB"/>
        </w:rPr>
      </w:pPr>
      <w:r>
        <w:rPr>
          <w:rFonts w:ascii="Arial" w:hAnsi="Arial"/>
          <w:b/>
          <w:lang w:val="en-GB"/>
        </w:rPr>
        <w:t xml:space="preserve">Further </w:t>
      </w:r>
      <w:r w:rsidR="00D215AE">
        <w:rPr>
          <w:rFonts w:ascii="Arial" w:hAnsi="Arial"/>
          <w:b/>
          <w:lang w:val="en-GB"/>
        </w:rPr>
        <w:t>in</w:t>
      </w:r>
      <w:r>
        <w:rPr>
          <w:rFonts w:ascii="Arial" w:hAnsi="Arial"/>
          <w:b/>
          <w:lang w:val="en-GB"/>
        </w:rPr>
        <w:t>volvement</w:t>
      </w:r>
      <w:r w:rsidR="00D215AE">
        <w:rPr>
          <w:rFonts w:ascii="Arial" w:hAnsi="Arial"/>
          <w:b/>
          <w:lang w:val="en-GB"/>
        </w:rPr>
        <w:t xml:space="preserve"> in </w:t>
      </w:r>
      <w:r w:rsidR="00D11794">
        <w:rPr>
          <w:rFonts w:ascii="Arial" w:hAnsi="Arial"/>
          <w:b/>
          <w:lang w:val="en-GB"/>
        </w:rPr>
        <w:t>the Belt and Road Initiative</w:t>
      </w:r>
      <w:r w:rsidR="00C9312B">
        <w:rPr>
          <w:rStyle w:val="FootnoteReference"/>
          <w:rFonts w:ascii="Arial" w:hAnsi="Arial"/>
          <w:b/>
          <w:lang w:val="en-GB"/>
        </w:rPr>
        <w:footnoteReference w:id="1"/>
      </w:r>
      <w:r w:rsidR="00D215AE">
        <w:rPr>
          <w:rFonts w:ascii="Arial" w:hAnsi="Arial"/>
          <w:b/>
          <w:lang w:val="en-GB"/>
        </w:rPr>
        <w:t xml:space="preserve"> represents bot</w:t>
      </w:r>
      <w:r w:rsidR="008F008D">
        <w:rPr>
          <w:rFonts w:ascii="Arial" w:hAnsi="Arial"/>
          <w:b/>
          <w:lang w:val="en-GB"/>
        </w:rPr>
        <w:t>h</w:t>
      </w:r>
      <w:r w:rsidR="00D215AE">
        <w:rPr>
          <w:rFonts w:ascii="Arial" w:hAnsi="Arial"/>
          <w:b/>
          <w:lang w:val="en-GB"/>
        </w:rPr>
        <w:t xml:space="preserve"> a risk and an opportunity for the UAE</w:t>
      </w:r>
      <w:r>
        <w:rPr>
          <w:rFonts w:ascii="Arial" w:hAnsi="Arial"/>
          <w:b/>
          <w:lang w:val="en-GB"/>
        </w:rPr>
        <w:t>.</w:t>
      </w:r>
      <w:r w:rsidR="00D215AE">
        <w:rPr>
          <w:rFonts w:ascii="Arial" w:hAnsi="Arial"/>
          <w:b/>
          <w:lang w:val="en-GB"/>
        </w:rPr>
        <w:t xml:space="preserve"> </w:t>
      </w:r>
    </w:p>
    <w:p w:rsidR="00D2562B" w:rsidRPr="00D11794" w:rsidRDefault="00F76ED3">
      <w:pPr>
        <w:pStyle w:val="ListParagraph"/>
        <w:numPr>
          <w:ilvl w:val="0"/>
          <w:numId w:val="12"/>
        </w:numPr>
        <w:suppressAutoHyphens/>
        <w:spacing w:line="270" w:lineRule="exact"/>
        <w:jc w:val="both"/>
        <w:rPr>
          <w:rFonts w:ascii="Arial" w:hAnsi="Arial"/>
          <w:b/>
          <w:lang w:val="en-GB"/>
        </w:rPr>
      </w:pPr>
      <w:r>
        <w:rPr>
          <w:rFonts w:ascii="Arial" w:hAnsi="Arial"/>
          <w:b/>
          <w:lang w:val="en-GB"/>
        </w:rPr>
        <w:t xml:space="preserve">However, the </w:t>
      </w:r>
      <w:r w:rsidR="00D11794">
        <w:rPr>
          <w:rFonts w:ascii="Arial" w:hAnsi="Arial"/>
          <w:b/>
          <w:lang w:val="en-GB"/>
        </w:rPr>
        <w:t>country</w:t>
      </w:r>
      <w:r>
        <w:rPr>
          <w:rFonts w:ascii="Arial" w:hAnsi="Arial"/>
          <w:b/>
          <w:lang w:val="en-GB"/>
        </w:rPr>
        <w:t xml:space="preserve"> is still only halfway through its</w:t>
      </w:r>
      <w:r w:rsidR="00D11794">
        <w:rPr>
          <w:rFonts w:ascii="Arial" w:hAnsi="Arial"/>
          <w:b/>
          <w:lang w:val="en-GB"/>
        </w:rPr>
        <w:t xml:space="preserve"> diversification process, </w:t>
      </w:r>
      <w:r w:rsidR="008F008D">
        <w:rPr>
          <w:rFonts w:ascii="Arial" w:hAnsi="Arial"/>
          <w:b/>
          <w:lang w:val="en-GB"/>
        </w:rPr>
        <w:t>and is</w:t>
      </w:r>
      <w:r>
        <w:rPr>
          <w:rFonts w:ascii="Arial" w:hAnsi="Arial"/>
          <w:b/>
          <w:lang w:val="en-GB"/>
        </w:rPr>
        <w:t xml:space="preserve"> yet to be</w:t>
      </w:r>
      <w:r w:rsidR="008F008D">
        <w:rPr>
          <w:rFonts w:ascii="Arial" w:hAnsi="Arial"/>
          <w:b/>
          <w:lang w:val="en-GB"/>
        </w:rPr>
        <w:t xml:space="preserve"> integrat</w:t>
      </w:r>
      <w:r>
        <w:rPr>
          <w:rFonts w:ascii="Arial" w:hAnsi="Arial"/>
          <w:b/>
          <w:lang w:val="en-GB"/>
        </w:rPr>
        <w:t>ed</w:t>
      </w:r>
      <w:r w:rsidR="008F008D">
        <w:rPr>
          <w:rFonts w:ascii="Arial" w:hAnsi="Arial"/>
          <w:b/>
          <w:lang w:val="en-GB"/>
        </w:rPr>
        <w:t xml:space="preserve"> in global value chains</w:t>
      </w:r>
      <w:r>
        <w:rPr>
          <w:rFonts w:ascii="Arial" w:hAnsi="Arial"/>
          <w:b/>
          <w:lang w:val="en-GB"/>
        </w:rPr>
        <w:t>.</w:t>
      </w:r>
    </w:p>
    <w:p w:rsidR="00D11794" w:rsidRDefault="00D11794">
      <w:pPr>
        <w:widowControl/>
        <w:suppressAutoHyphens/>
        <w:spacing w:line="270" w:lineRule="exact"/>
        <w:jc w:val="both"/>
        <w:rPr>
          <w:rFonts w:ascii="Arial" w:hAnsi="Arial"/>
          <w:sz w:val="20"/>
          <w:szCs w:val="20"/>
          <w:lang w:val="en-GB"/>
        </w:rPr>
      </w:pPr>
    </w:p>
    <w:p w:rsidR="00D11794" w:rsidRPr="00465E83" w:rsidRDefault="00465E83">
      <w:pPr>
        <w:widowControl/>
        <w:suppressAutoHyphens/>
        <w:spacing w:line="270" w:lineRule="exact"/>
        <w:jc w:val="both"/>
        <w:rPr>
          <w:rFonts w:ascii="Arial" w:hAnsi="Arial"/>
          <w:b/>
          <w:sz w:val="20"/>
          <w:szCs w:val="20"/>
          <w:lang w:val="en-GB"/>
        </w:rPr>
      </w:pPr>
      <w:r w:rsidRPr="00465E83">
        <w:rPr>
          <w:rFonts w:ascii="Arial" w:hAnsi="Arial"/>
          <w:b/>
          <w:sz w:val="20"/>
          <w:szCs w:val="20"/>
          <w:lang w:val="en-GB"/>
        </w:rPr>
        <w:t>Ongoing diversificatio</w:t>
      </w:r>
      <w:r>
        <w:rPr>
          <w:rFonts w:ascii="Arial" w:hAnsi="Arial"/>
          <w:b/>
          <w:sz w:val="20"/>
          <w:szCs w:val="20"/>
          <w:lang w:val="en-GB"/>
        </w:rPr>
        <w:t>n to balance oil-dependence</w:t>
      </w:r>
    </w:p>
    <w:p w:rsidR="00D11794" w:rsidRDefault="00D11794">
      <w:pPr>
        <w:widowControl/>
        <w:suppressAutoHyphens/>
        <w:spacing w:line="270" w:lineRule="exact"/>
        <w:jc w:val="both"/>
        <w:rPr>
          <w:rFonts w:ascii="Arial" w:hAnsi="Arial"/>
          <w:sz w:val="20"/>
          <w:szCs w:val="20"/>
          <w:lang w:val="en-GB"/>
        </w:rPr>
      </w:pPr>
    </w:p>
    <w:p w:rsidR="00DA4F64" w:rsidRDefault="00581C04">
      <w:pPr>
        <w:widowControl/>
        <w:suppressAutoHyphens/>
        <w:spacing w:line="270" w:lineRule="exact"/>
        <w:jc w:val="both"/>
        <w:rPr>
          <w:rFonts w:ascii="Arial" w:hAnsi="Arial"/>
          <w:sz w:val="20"/>
          <w:szCs w:val="20"/>
          <w:lang w:val="en-GB"/>
        </w:rPr>
      </w:pPr>
      <w:r>
        <w:rPr>
          <w:rFonts w:ascii="Arial" w:hAnsi="Arial"/>
          <w:sz w:val="20"/>
          <w:szCs w:val="20"/>
          <w:lang w:val="en-GB"/>
        </w:rPr>
        <w:t xml:space="preserve">In the last three decades, </w:t>
      </w:r>
      <w:r w:rsidR="00E628E3">
        <w:rPr>
          <w:rFonts w:ascii="Arial" w:hAnsi="Arial"/>
          <w:sz w:val="20"/>
          <w:szCs w:val="20"/>
          <w:lang w:val="en-GB"/>
        </w:rPr>
        <w:t xml:space="preserve">the </w:t>
      </w:r>
      <w:r>
        <w:rPr>
          <w:rFonts w:ascii="Arial" w:hAnsi="Arial"/>
          <w:sz w:val="20"/>
          <w:szCs w:val="20"/>
          <w:lang w:val="en-GB"/>
        </w:rPr>
        <w:t xml:space="preserve">UAE has </w:t>
      </w:r>
      <w:r w:rsidR="00E628E3">
        <w:rPr>
          <w:rFonts w:ascii="Arial" w:hAnsi="Arial"/>
          <w:sz w:val="20"/>
          <w:szCs w:val="20"/>
          <w:lang w:val="en-GB"/>
        </w:rPr>
        <w:t>d</w:t>
      </w:r>
      <w:r w:rsidR="00F76ED3">
        <w:rPr>
          <w:rFonts w:ascii="Arial" w:hAnsi="Arial"/>
          <w:sz w:val="20"/>
          <w:szCs w:val="20"/>
          <w:lang w:val="en-GB"/>
        </w:rPr>
        <w:t>eveloped</w:t>
      </w:r>
      <w:r>
        <w:rPr>
          <w:rFonts w:ascii="Arial" w:hAnsi="Arial"/>
          <w:sz w:val="20"/>
          <w:szCs w:val="20"/>
          <w:lang w:val="en-GB"/>
        </w:rPr>
        <w:t xml:space="preserve"> into the second largest and most diversified economy in GCC area </w:t>
      </w:r>
      <w:r w:rsidR="0063320E">
        <w:rPr>
          <w:rFonts w:ascii="Arial" w:hAnsi="Arial"/>
          <w:sz w:val="20"/>
          <w:szCs w:val="20"/>
          <w:lang w:val="en-GB"/>
        </w:rPr>
        <w:t>th</w:t>
      </w:r>
      <w:r w:rsidR="00F76ED3">
        <w:rPr>
          <w:rFonts w:ascii="Arial" w:hAnsi="Arial"/>
          <w:sz w:val="20"/>
          <w:szCs w:val="20"/>
          <w:lang w:val="en-GB"/>
        </w:rPr>
        <w:t>rough</w:t>
      </w:r>
      <w:r w:rsidR="0063320E">
        <w:rPr>
          <w:rFonts w:ascii="Arial" w:hAnsi="Arial"/>
          <w:sz w:val="20"/>
          <w:szCs w:val="20"/>
          <w:lang w:val="en-GB"/>
        </w:rPr>
        <w:t xml:space="preserve"> </w:t>
      </w:r>
      <w:r w:rsidR="0063320E" w:rsidRPr="0013269B">
        <w:rPr>
          <w:rFonts w:ascii="Arial" w:hAnsi="Arial"/>
          <w:sz w:val="20"/>
          <w:szCs w:val="20"/>
          <w:lang w:val="en-GB"/>
        </w:rPr>
        <w:t>the implementation of specific policy framework</w:t>
      </w:r>
      <w:r w:rsidR="00F76ED3">
        <w:rPr>
          <w:rFonts w:ascii="Arial" w:hAnsi="Arial"/>
          <w:sz w:val="20"/>
          <w:szCs w:val="20"/>
          <w:lang w:val="en-GB"/>
        </w:rPr>
        <w:t>s</w:t>
      </w:r>
      <w:r w:rsidR="0063320E" w:rsidRPr="0013269B">
        <w:rPr>
          <w:rFonts w:ascii="Arial" w:hAnsi="Arial"/>
          <w:sz w:val="20"/>
          <w:szCs w:val="20"/>
          <w:lang w:val="en-GB"/>
        </w:rPr>
        <w:t xml:space="preserve"> regarding regulations, investments, trade barriers and restrictions</w:t>
      </w:r>
      <w:r w:rsidR="0063320E">
        <w:rPr>
          <w:rFonts w:ascii="Arial" w:hAnsi="Arial"/>
          <w:sz w:val="20"/>
          <w:szCs w:val="20"/>
          <w:lang w:val="en-GB"/>
        </w:rPr>
        <w:t xml:space="preserve"> </w:t>
      </w:r>
      <w:r w:rsidR="0063320E" w:rsidRPr="0013269B">
        <w:rPr>
          <w:rFonts w:ascii="Arial" w:hAnsi="Arial"/>
          <w:sz w:val="20"/>
          <w:szCs w:val="20"/>
          <w:lang w:val="en-GB"/>
        </w:rPr>
        <w:t>allow</w:t>
      </w:r>
      <w:r w:rsidR="00F76ED3">
        <w:rPr>
          <w:rFonts w:ascii="Arial" w:hAnsi="Arial"/>
          <w:sz w:val="20"/>
          <w:szCs w:val="20"/>
          <w:lang w:val="en-GB"/>
        </w:rPr>
        <w:t>ing</w:t>
      </w:r>
      <w:r w:rsidR="0063320E" w:rsidRPr="0013269B">
        <w:rPr>
          <w:rFonts w:ascii="Arial" w:hAnsi="Arial"/>
          <w:sz w:val="20"/>
          <w:szCs w:val="20"/>
          <w:lang w:val="en-GB"/>
        </w:rPr>
        <w:t xml:space="preserve"> the expansion of the private sector</w:t>
      </w:r>
      <w:r>
        <w:rPr>
          <w:rFonts w:ascii="Arial" w:hAnsi="Arial"/>
          <w:sz w:val="20"/>
          <w:szCs w:val="20"/>
          <w:lang w:val="en-GB"/>
        </w:rPr>
        <w:t>. Between 2000 and 2017, the</w:t>
      </w:r>
      <w:r w:rsidR="00DD3127">
        <w:rPr>
          <w:rFonts w:ascii="Arial" w:hAnsi="Arial"/>
          <w:sz w:val="20"/>
          <w:szCs w:val="20"/>
          <w:lang w:val="en-GB"/>
        </w:rPr>
        <w:t xml:space="preserve"> share of </w:t>
      </w:r>
      <w:r w:rsidR="00DD3127" w:rsidRPr="00DD3127">
        <w:rPr>
          <w:rFonts w:ascii="Arial" w:hAnsi="Arial"/>
          <w:sz w:val="20"/>
          <w:szCs w:val="20"/>
          <w:lang w:val="en-GB"/>
        </w:rPr>
        <w:t>oil revenues in total budget revenues</w:t>
      </w:r>
      <w:r w:rsidR="00DD3127">
        <w:rPr>
          <w:rFonts w:ascii="Arial" w:hAnsi="Arial"/>
          <w:sz w:val="20"/>
          <w:szCs w:val="20"/>
          <w:lang w:val="en-GB"/>
        </w:rPr>
        <w:t xml:space="preserve"> </w:t>
      </w:r>
      <w:r>
        <w:rPr>
          <w:rFonts w:ascii="Arial" w:hAnsi="Arial"/>
          <w:sz w:val="20"/>
          <w:szCs w:val="20"/>
          <w:lang w:val="en-GB"/>
        </w:rPr>
        <w:t xml:space="preserve">declined by 7 pp to </w:t>
      </w:r>
      <w:r w:rsidR="00DD3127">
        <w:rPr>
          <w:rFonts w:ascii="Arial" w:hAnsi="Arial"/>
          <w:sz w:val="20"/>
          <w:szCs w:val="20"/>
          <w:lang w:val="en-GB"/>
        </w:rPr>
        <w:t>53</w:t>
      </w:r>
      <w:r w:rsidR="00F76ED3">
        <w:rPr>
          <w:rFonts w:ascii="Arial" w:hAnsi="Arial"/>
          <w:sz w:val="20"/>
          <w:szCs w:val="20"/>
          <w:lang w:val="en-GB"/>
        </w:rPr>
        <w:t xml:space="preserve"> </w:t>
      </w:r>
      <w:r w:rsidR="00DD3127">
        <w:rPr>
          <w:rFonts w:ascii="Arial" w:hAnsi="Arial"/>
          <w:sz w:val="20"/>
          <w:szCs w:val="20"/>
          <w:lang w:val="en-GB"/>
        </w:rPr>
        <w:t>%</w:t>
      </w:r>
      <w:r>
        <w:rPr>
          <w:rFonts w:ascii="Arial" w:hAnsi="Arial"/>
          <w:sz w:val="20"/>
          <w:szCs w:val="20"/>
          <w:lang w:val="en-GB"/>
        </w:rPr>
        <w:t xml:space="preserve">. </w:t>
      </w:r>
      <w:r w:rsidR="00F76ED3">
        <w:rPr>
          <w:rFonts w:ascii="Arial" w:hAnsi="Arial"/>
          <w:sz w:val="20"/>
          <w:szCs w:val="20"/>
          <w:lang w:val="en-GB"/>
        </w:rPr>
        <w:t>E</w:t>
      </w:r>
      <w:r w:rsidR="00DD3127" w:rsidRPr="00DD3127">
        <w:rPr>
          <w:rFonts w:ascii="Arial" w:hAnsi="Arial"/>
          <w:sz w:val="20"/>
          <w:szCs w:val="20"/>
          <w:lang w:val="en-GB"/>
        </w:rPr>
        <w:t>xports of oil and oil products declined to 16</w:t>
      </w:r>
      <w:r w:rsidR="00F76ED3">
        <w:rPr>
          <w:rFonts w:ascii="Arial" w:hAnsi="Arial"/>
          <w:sz w:val="20"/>
          <w:szCs w:val="20"/>
          <w:lang w:val="en-GB"/>
        </w:rPr>
        <w:t xml:space="preserve"> </w:t>
      </w:r>
      <w:r w:rsidR="00DD3127" w:rsidRPr="00DD3127">
        <w:rPr>
          <w:rFonts w:ascii="Arial" w:hAnsi="Arial"/>
          <w:sz w:val="20"/>
          <w:szCs w:val="20"/>
          <w:lang w:val="en-GB"/>
        </w:rPr>
        <w:t xml:space="preserve">% of total exports in 2016 </w:t>
      </w:r>
      <w:r w:rsidR="00F76ED3">
        <w:rPr>
          <w:rFonts w:ascii="Arial" w:hAnsi="Arial"/>
          <w:sz w:val="20"/>
          <w:szCs w:val="20"/>
          <w:lang w:val="en-GB"/>
        </w:rPr>
        <w:t>against</w:t>
      </w:r>
      <w:r w:rsidR="00DD3127" w:rsidRPr="00DD3127">
        <w:rPr>
          <w:rFonts w:ascii="Arial" w:hAnsi="Arial"/>
          <w:sz w:val="20"/>
          <w:szCs w:val="20"/>
          <w:lang w:val="en-GB"/>
        </w:rPr>
        <w:t xml:space="preserve"> 76</w:t>
      </w:r>
      <w:r w:rsidR="00F76ED3">
        <w:rPr>
          <w:rFonts w:ascii="Arial" w:hAnsi="Arial"/>
          <w:sz w:val="20"/>
          <w:szCs w:val="20"/>
          <w:lang w:val="en-GB"/>
        </w:rPr>
        <w:t xml:space="preserve"> </w:t>
      </w:r>
      <w:r w:rsidR="00DD3127" w:rsidRPr="00DD3127">
        <w:rPr>
          <w:rFonts w:ascii="Arial" w:hAnsi="Arial"/>
          <w:sz w:val="20"/>
          <w:szCs w:val="20"/>
          <w:lang w:val="en-GB"/>
        </w:rPr>
        <w:t xml:space="preserve">% in 2000. </w:t>
      </w:r>
      <w:r w:rsidR="00F76ED3">
        <w:rPr>
          <w:rFonts w:ascii="Arial" w:hAnsi="Arial"/>
          <w:sz w:val="20"/>
          <w:szCs w:val="20"/>
          <w:lang w:val="en-GB"/>
        </w:rPr>
        <w:t>E</w:t>
      </w:r>
      <w:r w:rsidR="00DD3127" w:rsidRPr="00DD3127">
        <w:rPr>
          <w:rFonts w:ascii="Arial" w:hAnsi="Arial"/>
          <w:sz w:val="20"/>
          <w:szCs w:val="20"/>
          <w:lang w:val="en-GB"/>
        </w:rPr>
        <w:t>xports of plastics, wood and paper, precious stones, cement, transportation products and metals increased</w:t>
      </w:r>
      <w:r w:rsidR="00F76ED3">
        <w:rPr>
          <w:rFonts w:ascii="Arial" w:hAnsi="Arial"/>
          <w:sz w:val="20"/>
          <w:szCs w:val="20"/>
          <w:lang w:val="en-GB"/>
        </w:rPr>
        <w:t xml:space="preserve"> over the period</w:t>
      </w:r>
      <w:r w:rsidR="00DD3127" w:rsidRPr="00DD3127">
        <w:rPr>
          <w:rFonts w:ascii="Arial" w:hAnsi="Arial"/>
          <w:sz w:val="20"/>
          <w:szCs w:val="20"/>
          <w:lang w:val="en-GB"/>
        </w:rPr>
        <w:t>.</w:t>
      </w:r>
    </w:p>
    <w:p w:rsidR="00DD3127" w:rsidRDefault="00DD3127">
      <w:pPr>
        <w:widowControl/>
        <w:suppressAutoHyphens/>
        <w:spacing w:line="270" w:lineRule="exact"/>
        <w:jc w:val="both"/>
        <w:rPr>
          <w:rFonts w:ascii="Arial" w:hAnsi="Arial"/>
          <w:sz w:val="20"/>
          <w:szCs w:val="20"/>
          <w:lang w:val="en-GB"/>
        </w:rPr>
      </w:pPr>
    </w:p>
    <w:p w:rsidR="0013269B" w:rsidRDefault="00F76ED3">
      <w:pPr>
        <w:widowControl/>
        <w:suppressAutoHyphens/>
        <w:spacing w:line="270" w:lineRule="exact"/>
        <w:jc w:val="both"/>
        <w:rPr>
          <w:rFonts w:ascii="Arial" w:hAnsi="Arial"/>
          <w:sz w:val="20"/>
          <w:szCs w:val="20"/>
          <w:lang w:val="en-GB"/>
        </w:rPr>
      </w:pPr>
      <w:r>
        <w:rPr>
          <w:rFonts w:ascii="Arial" w:hAnsi="Arial"/>
          <w:sz w:val="20"/>
          <w:szCs w:val="20"/>
          <w:lang w:val="en-GB"/>
        </w:rPr>
        <w:t>Despite</w:t>
      </w:r>
      <w:r w:rsidR="0013269B">
        <w:rPr>
          <w:rFonts w:ascii="Arial" w:hAnsi="Arial"/>
          <w:sz w:val="20"/>
          <w:szCs w:val="20"/>
          <w:lang w:val="en-GB"/>
        </w:rPr>
        <w:t xml:space="preserve"> these positive outcomes, the UAE </w:t>
      </w:r>
      <w:r>
        <w:rPr>
          <w:rFonts w:ascii="Arial" w:hAnsi="Arial"/>
          <w:sz w:val="20"/>
          <w:szCs w:val="20"/>
          <w:lang w:val="en-GB"/>
        </w:rPr>
        <w:t xml:space="preserve">still </w:t>
      </w:r>
      <w:r w:rsidR="0013269B">
        <w:rPr>
          <w:rFonts w:ascii="Arial" w:hAnsi="Arial"/>
          <w:sz w:val="20"/>
          <w:szCs w:val="20"/>
          <w:lang w:val="en-GB"/>
        </w:rPr>
        <w:t xml:space="preserve">does not seem to </w:t>
      </w:r>
      <w:r>
        <w:rPr>
          <w:rFonts w:ascii="Arial" w:hAnsi="Arial"/>
          <w:sz w:val="20"/>
          <w:szCs w:val="20"/>
          <w:lang w:val="en-GB"/>
        </w:rPr>
        <w:t xml:space="preserve">have </w:t>
      </w:r>
      <w:r w:rsidR="0013269B">
        <w:rPr>
          <w:rFonts w:ascii="Arial" w:hAnsi="Arial"/>
          <w:sz w:val="20"/>
          <w:szCs w:val="20"/>
          <w:lang w:val="en-GB"/>
        </w:rPr>
        <w:t>integrate</w:t>
      </w:r>
      <w:r>
        <w:rPr>
          <w:rFonts w:ascii="Arial" w:hAnsi="Arial"/>
          <w:sz w:val="20"/>
          <w:szCs w:val="20"/>
          <w:lang w:val="en-GB"/>
        </w:rPr>
        <w:t>d</w:t>
      </w:r>
      <w:r w:rsidR="0013269B">
        <w:rPr>
          <w:rFonts w:ascii="Arial" w:hAnsi="Arial"/>
          <w:sz w:val="20"/>
          <w:szCs w:val="20"/>
          <w:lang w:val="en-GB"/>
        </w:rPr>
        <w:t xml:space="preserve"> </w:t>
      </w:r>
      <w:r w:rsidR="0013269B" w:rsidRPr="0013269B">
        <w:rPr>
          <w:rFonts w:ascii="Arial" w:hAnsi="Arial"/>
          <w:sz w:val="20"/>
          <w:szCs w:val="20"/>
          <w:lang w:val="en-GB"/>
        </w:rPr>
        <w:t>global value chains (GVC)</w:t>
      </w:r>
      <w:r w:rsidR="00E628E3">
        <w:rPr>
          <w:rFonts w:ascii="Arial" w:hAnsi="Arial"/>
          <w:sz w:val="20"/>
          <w:szCs w:val="20"/>
          <w:lang w:val="en-GB"/>
        </w:rPr>
        <w:t>;</w:t>
      </w:r>
      <w:r w:rsidR="0063320E">
        <w:rPr>
          <w:rFonts w:ascii="Arial" w:hAnsi="Arial"/>
          <w:sz w:val="20"/>
          <w:szCs w:val="20"/>
          <w:lang w:val="en-GB"/>
        </w:rPr>
        <w:t xml:space="preserve"> </w:t>
      </w:r>
      <w:r>
        <w:rPr>
          <w:rFonts w:ascii="Arial" w:hAnsi="Arial"/>
          <w:sz w:val="20"/>
          <w:szCs w:val="20"/>
          <w:lang w:val="en-GB"/>
        </w:rPr>
        <w:t>o</w:t>
      </w:r>
      <w:r w:rsidR="0013269B">
        <w:rPr>
          <w:rFonts w:ascii="Arial" w:hAnsi="Arial"/>
          <w:sz w:val="20"/>
          <w:szCs w:val="20"/>
          <w:lang w:val="en-GB"/>
        </w:rPr>
        <w:t>nly</w:t>
      </w:r>
      <w:r w:rsidR="007802C8">
        <w:rPr>
          <w:rFonts w:ascii="Arial" w:hAnsi="Arial"/>
          <w:sz w:val="20"/>
          <w:szCs w:val="20"/>
          <w:lang w:val="en-GB"/>
        </w:rPr>
        <w:t xml:space="preserve"> fuels, metals, minerals</w:t>
      </w:r>
      <w:r w:rsidR="0013269B" w:rsidRPr="0013269B">
        <w:rPr>
          <w:rFonts w:ascii="Arial" w:hAnsi="Arial"/>
          <w:sz w:val="20"/>
          <w:szCs w:val="20"/>
          <w:lang w:val="en-GB"/>
        </w:rPr>
        <w:t xml:space="preserve"> and stones</w:t>
      </w:r>
      <w:r w:rsidR="0013269B">
        <w:rPr>
          <w:rFonts w:ascii="Arial" w:hAnsi="Arial"/>
          <w:sz w:val="20"/>
          <w:szCs w:val="20"/>
          <w:lang w:val="en-GB"/>
        </w:rPr>
        <w:t xml:space="preserve"> rank, representing a very small </w:t>
      </w:r>
      <w:r w:rsidR="0013269B" w:rsidRPr="0013269B">
        <w:rPr>
          <w:rFonts w:ascii="Arial" w:hAnsi="Arial"/>
          <w:sz w:val="20"/>
          <w:szCs w:val="20"/>
          <w:lang w:val="en-GB"/>
        </w:rPr>
        <w:t>p</w:t>
      </w:r>
      <w:r>
        <w:rPr>
          <w:rFonts w:ascii="Arial" w:hAnsi="Arial"/>
          <w:sz w:val="20"/>
          <w:szCs w:val="20"/>
          <w:lang w:val="en-GB"/>
        </w:rPr>
        <w:t>ortion</w:t>
      </w:r>
      <w:r w:rsidR="0013269B" w:rsidRPr="0013269B">
        <w:rPr>
          <w:rFonts w:ascii="Arial" w:hAnsi="Arial"/>
          <w:sz w:val="20"/>
          <w:szCs w:val="20"/>
          <w:lang w:val="en-GB"/>
        </w:rPr>
        <w:t xml:space="preserve"> of the manufacturing sector</w:t>
      </w:r>
      <w:r w:rsidR="00E628E3">
        <w:rPr>
          <w:rFonts w:ascii="Arial" w:hAnsi="Arial"/>
          <w:sz w:val="20"/>
          <w:szCs w:val="20"/>
          <w:lang w:val="en-GB"/>
        </w:rPr>
        <w:t>,</w:t>
      </w:r>
      <w:r w:rsidR="0013269B">
        <w:rPr>
          <w:rFonts w:ascii="Arial" w:hAnsi="Arial"/>
          <w:sz w:val="20"/>
          <w:szCs w:val="20"/>
          <w:lang w:val="en-GB"/>
        </w:rPr>
        <w:t xml:space="preserve"> </w:t>
      </w:r>
      <w:r>
        <w:rPr>
          <w:rFonts w:ascii="Arial" w:hAnsi="Arial"/>
          <w:sz w:val="20"/>
          <w:szCs w:val="20"/>
          <w:lang w:val="en-GB"/>
        </w:rPr>
        <w:t>are integrated</w:t>
      </w:r>
      <w:r w:rsidR="0013269B">
        <w:rPr>
          <w:rFonts w:ascii="Arial" w:hAnsi="Arial"/>
          <w:sz w:val="20"/>
          <w:szCs w:val="20"/>
          <w:lang w:val="en-GB"/>
        </w:rPr>
        <w:t>.</w:t>
      </w:r>
      <w:r w:rsidR="00527735">
        <w:rPr>
          <w:rFonts w:ascii="Arial" w:hAnsi="Arial"/>
          <w:sz w:val="20"/>
          <w:szCs w:val="20"/>
          <w:lang w:val="en-GB"/>
        </w:rPr>
        <w:t xml:space="preserve"> </w:t>
      </w:r>
      <w:r w:rsidR="0013269B">
        <w:rPr>
          <w:rFonts w:ascii="Arial" w:hAnsi="Arial"/>
          <w:sz w:val="20"/>
          <w:szCs w:val="20"/>
          <w:lang w:val="en-GB"/>
        </w:rPr>
        <w:t xml:space="preserve">This </w:t>
      </w:r>
      <w:r>
        <w:rPr>
          <w:rFonts w:ascii="Arial" w:hAnsi="Arial"/>
          <w:sz w:val="20"/>
          <w:szCs w:val="20"/>
          <w:lang w:val="en-GB"/>
        </w:rPr>
        <w:t>situation is preventing</w:t>
      </w:r>
      <w:r w:rsidR="0013269B" w:rsidRPr="0013269B">
        <w:rPr>
          <w:rFonts w:ascii="Arial" w:hAnsi="Arial"/>
          <w:sz w:val="20"/>
          <w:szCs w:val="20"/>
          <w:lang w:val="en-GB"/>
        </w:rPr>
        <w:t xml:space="preserve"> UAE companies </w:t>
      </w:r>
      <w:r>
        <w:rPr>
          <w:rFonts w:ascii="Arial" w:hAnsi="Arial"/>
          <w:sz w:val="20"/>
          <w:szCs w:val="20"/>
          <w:lang w:val="en-GB"/>
        </w:rPr>
        <w:t>from</w:t>
      </w:r>
      <w:r w:rsidR="0013269B" w:rsidRPr="0013269B">
        <w:rPr>
          <w:rFonts w:ascii="Arial" w:hAnsi="Arial"/>
          <w:sz w:val="20"/>
          <w:szCs w:val="20"/>
          <w:lang w:val="en-GB"/>
        </w:rPr>
        <w:t xml:space="preserve"> implement</w:t>
      </w:r>
      <w:r>
        <w:rPr>
          <w:rFonts w:ascii="Arial" w:hAnsi="Arial"/>
          <w:sz w:val="20"/>
          <w:szCs w:val="20"/>
          <w:lang w:val="en-GB"/>
        </w:rPr>
        <w:t>ing</w:t>
      </w:r>
      <w:r w:rsidR="0013269B" w:rsidRPr="0013269B">
        <w:rPr>
          <w:rFonts w:ascii="Arial" w:hAnsi="Arial"/>
          <w:sz w:val="20"/>
          <w:szCs w:val="20"/>
          <w:lang w:val="en-GB"/>
        </w:rPr>
        <w:t xml:space="preserve"> a production process across different countries</w:t>
      </w:r>
      <w:r w:rsidR="00E628E3">
        <w:rPr>
          <w:rFonts w:ascii="Arial" w:hAnsi="Arial"/>
          <w:sz w:val="20"/>
          <w:szCs w:val="20"/>
          <w:lang w:val="en-GB"/>
        </w:rPr>
        <w:t>,</w:t>
      </w:r>
      <w:r>
        <w:rPr>
          <w:rFonts w:ascii="Arial" w:hAnsi="Arial"/>
          <w:sz w:val="20"/>
          <w:szCs w:val="20"/>
          <w:lang w:val="en-GB"/>
        </w:rPr>
        <w:t xml:space="preserve"> resulting in limited integration</w:t>
      </w:r>
      <w:r w:rsidR="00E628E3">
        <w:rPr>
          <w:rFonts w:ascii="Arial" w:hAnsi="Arial"/>
          <w:sz w:val="20"/>
          <w:szCs w:val="20"/>
          <w:lang w:val="en-GB"/>
        </w:rPr>
        <w:t xml:space="preserve"> in</w:t>
      </w:r>
      <w:r w:rsidR="0013269B" w:rsidRPr="0013269B">
        <w:rPr>
          <w:rFonts w:ascii="Arial" w:hAnsi="Arial"/>
          <w:sz w:val="20"/>
          <w:szCs w:val="20"/>
          <w:lang w:val="en-GB"/>
        </w:rPr>
        <w:t xml:space="preserve"> GVC despite the </w:t>
      </w:r>
      <w:proofErr w:type="gramStart"/>
      <w:r w:rsidR="0013269B" w:rsidRPr="0013269B">
        <w:rPr>
          <w:rFonts w:ascii="Arial" w:hAnsi="Arial"/>
          <w:sz w:val="20"/>
          <w:szCs w:val="20"/>
          <w:lang w:val="en-GB"/>
        </w:rPr>
        <w:t>country’s</w:t>
      </w:r>
      <w:proofErr w:type="gramEnd"/>
      <w:r w:rsidR="0013269B" w:rsidRPr="0013269B">
        <w:rPr>
          <w:rFonts w:ascii="Arial" w:hAnsi="Arial"/>
          <w:sz w:val="20"/>
          <w:szCs w:val="20"/>
          <w:lang w:val="en-GB"/>
        </w:rPr>
        <w:t xml:space="preserve"> continuous economic and trade diversification</w:t>
      </w:r>
      <w:r w:rsidRPr="00F76ED3">
        <w:rPr>
          <w:rFonts w:ascii="Arial" w:hAnsi="Arial"/>
          <w:sz w:val="20"/>
          <w:szCs w:val="20"/>
          <w:lang w:val="en-GB"/>
        </w:rPr>
        <w:t xml:space="preserve"> </w:t>
      </w:r>
      <w:r w:rsidRPr="0013269B">
        <w:rPr>
          <w:rFonts w:ascii="Arial" w:hAnsi="Arial"/>
          <w:sz w:val="20"/>
          <w:szCs w:val="20"/>
          <w:lang w:val="en-GB"/>
        </w:rPr>
        <w:t>efforts</w:t>
      </w:r>
      <w:r w:rsidR="0013269B" w:rsidRPr="0013269B">
        <w:rPr>
          <w:rFonts w:ascii="Arial" w:hAnsi="Arial"/>
          <w:sz w:val="20"/>
          <w:szCs w:val="20"/>
          <w:lang w:val="en-GB"/>
        </w:rPr>
        <w:t>.</w:t>
      </w:r>
    </w:p>
    <w:p w:rsidR="0013269B" w:rsidRDefault="0013269B">
      <w:pPr>
        <w:widowControl/>
        <w:suppressAutoHyphens/>
        <w:spacing w:line="270" w:lineRule="exact"/>
        <w:jc w:val="both"/>
        <w:rPr>
          <w:rFonts w:ascii="Arial" w:hAnsi="Arial"/>
          <w:sz w:val="20"/>
          <w:szCs w:val="20"/>
          <w:lang w:val="en-GB"/>
        </w:rPr>
      </w:pPr>
    </w:p>
    <w:p w:rsidR="00A40435" w:rsidRPr="00A40435" w:rsidRDefault="008F008D">
      <w:pPr>
        <w:widowControl/>
        <w:suppressAutoHyphens/>
        <w:spacing w:line="270" w:lineRule="exact"/>
        <w:jc w:val="both"/>
        <w:rPr>
          <w:rFonts w:ascii="Arial" w:hAnsi="Arial"/>
          <w:b/>
          <w:sz w:val="20"/>
          <w:szCs w:val="20"/>
          <w:lang w:val="en-GB"/>
        </w:rPr>
      </w:pPr>
      <w:r>
        <w:rPr>
          <w:rFonts w:ascii="Arial" w:hAnsi="Arial"/>
          <w:b/>
          <w:sz w:val="20"/>
          <w:szCs w:val="20"/>
          <w:lang w:val="en-GB"/>
        </w:rPr>
        <w:t>The Belt and Road initiative</w:t>
      </w:r>
      <w:r w:rsidR="00D10935">
        <w:rPr>
          <w:rFonts w:ascii="Arial" w:hAnsi="Arial"/>
          <w:b/>
          <w:sz w:val="20"/>
          <w:szCs w:val="20"/>
          <w:lang w:val="en-GB"/>
        </w:rPr>
        <w:t>:</w:t>
      </w:r>
      <w:r w:rsidR="00F76ED3">
        <w:rPr>
          <w:rFonts w:ascii="Arial" w:hAnsi="Arial"/>
          <w:b/>
          <w:sz w:val="20"/>
          <w:szCs w:val="20"/>
          <w:lang w:val="en-GB"/>
        </w:rPr>
        <w:t xml:space="preserve"> </w:t>
      </w:r>
      <w:r w:rsidR="00D10935">
        <w:rPr>
          <w:rFonts w:ascii="Arial" w:hAnsi="Arial"/>
          <w:b/>
          <w:sz w:val="20"/>
          <w:szCs w:val="20"/>
          <w:lang w:val="en-GB"/>
        </w:rPr>
        <w:t>a</w:t>
      </w:r>
      <w:r>
        <w:rPr>
          <w:rFonts w:ascii="Arial" w:hAnsi="Arial"/>
          <w:b/>
          <w:sz w:val="20"/>
          <w:szCs w:val="20"/>
          <w:lang w:val="en-GB"/>
        </w:rPr>
        <w:t xml:space="preserve"> source of benefit and risks </w:t>
      </w:r>
    </w:p>
    <w:p w:rsidR="00A40435" w:rsidRPr="00D11794" w:rsidRDefault="00A40435">
      <w:pPr>
        <w:widowControl/>
        <w:suppressAutoHyphens/>
        <w:spacing w:line="270" w:lineRule="exact"/>
        <w:jc w:val="both"/>
        <w:rPr>
          <w:rFonts w:ascii="Arial" w:hAnsi="Arial"/>
          <w:sz w:val="20"/>
          <w:szCs w:val="20"/>
          <w:lang w:val="en-GB"/>
        </w:rPr>
      </w:pPr>
    </w:p>
    <w:p w:rsidR="00D215AE" w:rsidRDefault="00D215AE">
      <w:pPr>
        <w:widowControl/>
        <w:suppressAutoHyphens/>
        <w:spacing w:line="270" w:lineRule="exact"/>
        <w:jc w:val="both"/>
        <w:rPr>
          <w:rFonts w:ascii="Arial" w:hAnsi="Arial"/>
          <w:sz w:val="20"/>
          <w:szCs w:val="20"/>
          <w:lang w:val="en-GB"/>
        </w:rPr>
      </w:pPr>
      <w:r>
        <w:rPr>
          <w:rFonts w:ascii="Arial" w:hAnsi="Arial"/>
          <w:sz w:val="20"/>
          <w:szCs w:val="20"/>
          <w:lang w:val="en-GB"/>
        </w:rPr>
        <w:t>UAE has sign</w:t>
      </w:r>
      <w:r w:rsidR="00F76ED3">
        <w:rPr>
          <w:rFonts w:ascii="Arial" w:hAnsi="Arial"/>
          <w:sz w:val="20"/>
          <w:szCs w:val="20"/>
          <w:lang w:val="en-GB"/>
        </w:rPr>
        <w:t>ed</w:t>
      </w:r>
      <w:r>
        <w:rPr>
          <w:rFonts w:ascii="Arial" w:hAnsi="Arial"/>
          <w:sz w:val="20"/>
          <w:szCs w:val="20"/>
          <w:lang w:val="en-GB"/>
        </w:rPr>
        <w:t xml:space="preserve"> various agreement</w:t>
      </w:r>
      <w:r w:rsidR="004C358F">
        <w:rPr>
          <w:rFonts w:ascii="Arial" w:hAnsi="Arial"/>
          <w:sz w:val="20"/>
          <w:szCs w:val="20"/>
          <w:lang w:val="en-GB"/>
        </w:rPr>
        <w:t>s</w:t>
      </w:r>
      <w:r>
        <w:rPr>
          <w:rFonts w:ascii="Arial" w:hAnsi="Arial"/>
          <w:sz w:val="20"/>
          <w:szCs w:val="20"/>
          <w:lang w:val="en-GB"/>
        </w:rPr>
        <w:t xml:space="preserve"> with many other economies in</w:t>
      </w:r>
      <w:r w:rsidRPr="004C59E9">
        <w:rPr>
          <w:rFonts w:ascii="Arial" w:hAnsi="Arial"/>
          <w:sz w:val="20"/>
          <w:szCs w:val="20"/>
          <w:lang w:val="en-GB"/>
        </w:rPr>
        <w:t xml:space="preserve"> trade</w:t>
      </w:r>
      <w:r w:rsidR="00C9312B">
        <w:rPr>
          <w:rFonts w:ascii="Arial" w:hAnsi="Arial"/>
          <w:sz w:val="20"/>
          <w:szCs w:val="20"/>
          <w:lang w:val="en-GB"/>
        </w:rPr>
        <w:t xml:space="preserve"> </w:t>
      </w:r>
      <w:proofErr w:type="gramStart"/>
      <w:r w:rsidR="00C9312B">
        <w:rPr>
          <w:rFonts w:ascii="Arial" w:hAnsi="Arial"/>
          <w:sz w:val="20"/>
          <w:szCs w:val="20"/>
          <w:lang w:val="en-GB"/>
        </w:rPr>
        <w:t xml:space="preserve">and </w:t>
      </w:r>
      <w:r w:rsidRPr="004C59E9">
        <w:rPr>
          <w:rFonts w:ascii="Arial" w:hAnsi="Arial"/>
          <w:sz w:val="20"/>
          <w:szCs w:val="20"/>
          <w:lang w:val="en-GB"/>
        </w:rPr>
        <w:t xml:space="preserve"> investment</w:t>
      </w:r>
      <w:proofErr w:type="gramEnd"/>
      <w:r w:rsidRPr="004C59E9">
        <w:rPr>
          <w:rFonts w:ascii="Arial" w:hAnsi="Arial"/>
          <w:sz w:val="20"/>
          <w:szCs w:val="20"/>
          <w:lang w:val="en-GB"/>
        </w:rPr>
        <w:t xml:space="preserve">, </w:t>
      </w:r>
      <w:r w:rsidR="00F76ED3">
        <w:rPr>
          <w:rFonts w:ascii="Arial" w:hAnsi="Arial"/>
          <w:sz w:val="20"/>
          <w:szCs w:val="20"/>
          <w:lang w:val="en-GB"/>
        </w:rPr>
        <w:t>favouring</w:t>
      </w:r>
      <w:r>
        <w:rPr>
          <w:rFonts w:ascii="Arial" w:hAnsi="Arial"/>
          <w:sz w:val="20"/>
          <w:szCs w:val="20"/>
          <w:lang w:val="en-GB"/>
        </w:rPr>
        <w:t xml:space="preserve"> China</w:t>
      </w:r>
      <w:r w:rsidR="00F76ED3">
        <w:rPr>
          <w:rFonts w:ascii="Arial" w:hAnsi="Arial"/>
          <w:sz w:val="20"/>
          <w:szCs w:val="20"/>
          <w:lang w:val="en-GB"/>
        </w:rPr>
        <w:t>,</w:t>
      </w:r>
      <w:r>
        <w:rPr>
          <w:rFonts w:ascii="Arial" w:hAnsi="Arial"/>
          <w:sz w:val="20"/>
          <w:szCs w:val="20"/>
          <w:lang w:val="en-GB"/>
        </w:rPr>
        <w:t xml:space="preserve"> also </w:t>
      </w:r>
      <w:r w:rsidR="00F76ED3">
        <w:rPr>
          <w:rFonts w:ascii="Arial" w:hAnsi="Arial"/>
          <w:sz w:val="20"/>
          <w:szCs w:val="20"/>
          <w:lang w:val="en-GB"/>
        </w:rPr>
        <w:t>due</w:t>
      </w:r>
      <w:r>
        <w:rPr>
          <w:rFonts w:ascii="Arial" w:hAnsi="Arial"/>
          <w:sz w:val="20"/>
          <w:szCs w:val="20"/>
          <w:lang w:val="en-GB"/>
        </w:rPr>
        <w:t xml:space="preserve"> to the Belt and Road Initiative (BRI) launched in 2013</w:t>
      </w:r>
      <w:r w:rsidR="00E628E3">
        <w:rPr>
          <w:rFonts w:ascii="Arial" w:hAnsi="Arial"/>
          <w:sz w:val="20"/>
          <w:szCs w:val="20"/>
          <w:lang w:val="en-GB"/>
        </w:rPr>
        <w:t>. These agreements</w:t>
      </w:r>
      <w:r>
        <w:rPr>
          <w:rFonts w:ascii="Arial" w:hAnsi="Arial"/>
          <w:sz w:val="20"/>
          <w:szCs w:val="20"/>
          <w:lang w:val="en-GB"/>
        </w:rPr>
        <w:t xml:space="preserve"> could boost</w:t>
      </w:r>
      <w:r w:rsidRPr="009F724E">
        <w:rPr>
          <w:rFonts w:ascii="Arial" w:hAnsi="Arial"/>
          <w:sz w:val="20"/>
          <w:szCs w:val="20"/>
          <w:lang w:val="en-GB"/>
        </w:rPr>
        <w:t xml:space="preserve"> commerce and investments</w:t>
      </w:r>
      <w:r w:rsidR="00F76ED3">
        <w:rPr>
          <w:rFonts w:ascii="Arial" w:hAnsi="Arial"/>
          <w:sz w:val="20"/>
          <w:szCs w:val="20"/>
          <w:lang w:val="en-GB"/>
        </w:rPr>
        <w:t xml:space="preserve"> and</w:t>
      </w:r>
      <w:r w:rsidRPr="009F724E">
        <w:rPr>
          <w:rFonts w:ascii="Arial" w:hAnsi="Arial"/>
          <w:sz w:val="20"/>
          <w:szCs w:val="20"/>
          <w:lang w:val="en-GB"/>
        </w:rPr>
        <w:t xml:space="preserve"> </w:t>
      </w:r>
      <w:r>
        <w:rPr>
          <w:rFonts w:ascii="Arial" w:hAnsi="Arial"/>
          <w:sz w:val="20"/>
          <w:szCs w:val="20"/>
          <w:lang w:val="en-GB"/>
        </w:rPr>
        <w:t>allow the country to access</w:t>
      </w:r>
      <w:r w:rsidRPr="009F724E">
        <w:rPr>
          <w:rFonts w:ascii="Arial" w:hAnsi="Arial"/>
          <w:sz w:val="20"/>
          <w:szCs w:val="20"/>
          <w:lang w:val="en-GB"/>
        </w:rPr>
        <w:t xml:space="preserve"> wider markets, especially regarding construction, metals, trade, logistics and hydrocarbon sectors.</w:t>
      </w:r>
    </w:p>
    <w:p w:rsidR="00A40435" w:rsidRDefault="00A40435">
      <w:pPr>
        <w:widowControl/>
        <w:suppressAutoHyphens/>
        <w:spacing w:line="270" w:lineRule="exact"/>
        <w:jc w:val="both"/>
        <w:rPr>
          <w:rFonts w:ascii="Arial" w:hAnsi="Arial"/>
          <w:sz w:val="20"/>
          <w:szCs w:val="20"/>
          <w:lang w:val="en-GB"/>
        </w:rPr>
      </w:pPr>
    </w:p>
    <w:p w:rsidR="007258BB" w:rsidRDefault="007258BB">
      <w:pPr>
        <w:widowControl/>
        <w:suppressAutoHyphens/>
        <w:spacing w:line="270" w:lineRule="exact"/>
        <w:jc w:val="both"/>
        <w:rPr>
          <w:rFonts w:ascii="Arial" w:hAnsi="Arial"/>
          <w:sz w:val="20"/>
          <w:szCs w:val="20"/>
          <w:lang w:val="en-GB"/>
        </w:rPr>
      </w:pPr>
      <w:r w:rsidRPr="007258BB">
        <w:rPr>
          <w:rFonts w:ascii="Arial" w:hAnsi="Arial"/>
          <w:sz w:val="20"/>
          <w:szCs w:val="20"/>
          <w:lang w:val="en-GB"/>
        </w:rPr>
        <w:t xml:space="preserve">The value of bilateral trade between </w:t>
      </w:r>
      <w:r w:rsidR="00E628E3">
        <w:rPr>
          <w:rFonts w:ascii="Arial" w:hAnsi="Arial"/>
          <w:sz w:val="20"/>
          <w:szCs w:val="20"/>
          <w:lang w:val="en-GB"/>
        </w:rPr>
        <w:t xml:space="preserve">the </w:t>
      </w:r>
      <w:r w:rsidRPr="007258BB">
        <w:rPr>
          <w:rFonts w:ascii="Arial" w:hAnsi="Arial"/>
          <w:sz w:val="20"/>
          <w:szCs w:val="20"/>
          <w:lang w:val="en-GB"/>
        </w:rPr>
        <w:t>UAE and China reached USD 52.7 billion in 2017, up 15</w:t>
      </w:r>
      <w:r w:rsidR="00E628E3">
        <w:rPr>
          <w:rFonts w:ascii="Arial" w:hAnsi="Arial"/>
          <w:sz w:val="20"/>
          <w:szCs w:val="20"/>
          <w:lang w:val="en-GB"/>
        </w:rPr>
        <w:t xml:space="preserve"> </w:t>
      </w:r>
      <w:r w:rsidRPr="007258BB">
        <w:rPr>
          <w:rFonts w:ascii="Arial" w:hAnsi="Arial"/>
          <w:sz w:val="20"/>
          <w:szCs w:val="20"/>
          <w:lang w:val="en-GB"/>
        </w:rPr>
        <w:t xml:space="preserve">% </w:t>
      </w:r>
      <w:r w:rsidR="00E628E3">
        <w:rPr>
          <w:rFonts w:ascii="Arial" w:hAnsi="Arial"/>
          <w:sz w:val="20"/>
          <w:szCs w:val="20"/>
          <w:lang w:val="en-GB"/>
        </w:rPr>
        <w:t>against the previous year</w:t>
      </w:r>
      <w:r w:rsidRPr="007258BB">
        <w:rPr>
          <w:rFonts w:ascii="Arial" w:hAnsi="Arial"/>
          <w:sz w:val="20"/>
          <w:szCs w:val="20"/>
          <w:lang w:val="en-GB"/>
        </w:rPr>
        <w:t>. Non-oil trade volume stood at USD 3.5 billion while imports reached USD 31.9 billion.</w:t>
      </w:r>
      <w:r w:rsidR="00E628E3">
        <w:rPr>
          <w:rFonts w:ascii="Arial" w:hAnsi="Arial"/>
          <w:sz w:val="20"/>
          <w:szCs w:val="20"/>
          <w:lang w:val="en-GB"/>
        </w:rPr>
        <w:t xml:space="preserve"> The </w:t>
      </w:r>
      <w:r w:rsidRPr="007258BB">
        <w:rPr>
          <w:rFonts w:ascii="Arial" w:hAnsi="Arial"/>
          <w:sz w:val="20"/>
          <w:szCs w:val="20"/>
          <w:lang w:val="en-GB"/>
        </w:rPr>
        <w:t>UAE’s main exports to China are</w:t>
      </w:r>
      <w:r w:rsidR="00E628E3">
        <w:rPr>
          <w:rFonts w:ascii="Arial" w:hAnsi="Arial"/>
          <w:sz w:val="20"/>
          <w:szCs w:val="20"/>
          <w:lang w:val="en-GB"/>
        </w:rPr>
        <w:t xml:space="preserve"> currently</w:t>
      </w:r>
      <w:r w:rsidRPr="007258BB">
        <w:rPr>
          <w:rFonts w:ascii="Arial" w:hAnsi="Arial"/>
          <w:sz w:val="20"/>
          <w:szCs w:val="20"/>
          <w:lang w:val="en-GB"/>
        </w:rPr>
        <w:t xml:space="preserve"> aluminium ingot, chemical fertiliser, petroleum, and polytene, while imports mostly </w:t>
      </w:r>
      <w:r>
        <w:rPr>
          <w:rFonts w:ascii="Arial" w:hAnsi="Arial"/>
          <w:sz w:val="20"/>
          <w:szCs w:val="20"/>
          <w:lang w:val="en-GB"/>
        </w:rPr>
        <w:t xml:space="preserve">target </w:t>
      </w:r>
      <w:r w:rsidRPr="007258BB">
        <w:rPr>
          <w:rFonts w:ascii="Arial" w:hAnsi="Arial"/>
          <w:sz w:val="20"/>
          <w:szCs w:val="20"/>
          <w:lang w:val="en-GB"/>
        </w:rPr>
        <w:t xml:space="preserve">textile goods, apparel, metal </w:t>
      </w:r>
      <w:r w:rsidRPr="007258BB">
        <w:rPr>
          <w:rFonts w:ascii="Arial" w:hAnsi="Arial"/>
          <w:sz w:val="20"/>
          <w:szCs w:val="20"/>
          <w:lang w:val="en-GB"/>
        </w:rPr>
        <w:lastRenderedPageBreak/>
        <w:t>products, machinery</w:t>
      </w:r>
      <w:r>
        <w:rPr>
          <w:rFonts w:ascii="Arial" w:hAnsi="Arial"/>
          <w:sz w:val="20"/>
          <w:szCs w:val="20"/>
          <w:lang w:val="en-GB"/>
        </w:rPr>
        <w:t xml:space="preserve"> </w:t>
      </w:r>
      <w:r w:rsidRPr="007258BB">
        <w:rPr>
          <w:rFonts w:ascii="Arial" w:hAnsi="Arial"/>
          <w:sz w:val="20"/>
          <w:szCs w:val="20"/>
          <w:lang w:val="en-GB"/>
        </w:rPr>
        <w:t xml:space="preserve">and electronics. </w:t>
      </w:r>
      <w:r w:rsidR="00B1235D">
        <w:rPr>
          <w:rFonts w:ascii="Arial" w:hAnsi="Arial"/>
          <w:sz w:val="20"/>
          <w:szCs w:val="20"/>
          <w:lang w:val="en-GB"/>
        </w:rPr>
        <w:t>In 2018, w</w:t>
      </w:r>
      <w:r w:rsidRPr="007258BB">
        <w:rPr>
          <w:rFonts w:ascii="Arial" w:hAnsi="Arial"/>
          <w:sz w:val="20"/>
          <w:szCs w:val="20"/>
          <w:lang w:val="en-GB"/>
        </w:rPr>
        <w:t>ithin the BRI, the volume of non-oil trade between China and the UAE is expected to rise to USD 58 billion as the initiative would give the federation the opportunity to enforce its regional hub position for exports and investments.</w:t>
      </w:r>
      <w:r w:rsidR="00DB7E61">
        <w:rPr>
          <w:rFonts w:ascii="Arial" w:hAnsi="Arial"/>
          <w:sz w:val="20"/>
          <w:szCs w:val="20"/>
          <w:lang w:val="en-GB"/>
        </w:rPr>
        <w:t xml:space="preserve"> </w:t>
      </w:r>
      <w:r>
        <w:rPr>
          <w:rFonts w:ascii="Arial" w:hAnsi="Arial"/>
          <w:sz w:val="20"/>
          <w:szCs w:val="20"/>
          <w:lang w:val="en-GB"/>
        </w:rPr>
        <w:t xml:space="preserve">Overall, </w:t>
      </w:r>
      <w:r w:rsidR="00E628E3">
        <w:rPr>
          <w:rFonts w:ascii="Arial" w:hAnsi="Arial"/>
          <w:sz w:val="20"/>
          <w:szCs w:val="20"/>
          <w:lang w:val="en-GB"/>
        </w:rPr>
        <w:t xml:space="preserve">the </w:t>
      </w:r>
      <w:r>
        <w:rPr>
          <w:rFonts w:ascii="Arial" w:hAnsi="Arial"/>
          <w:sz w:val="20"/>
          <w:szCs w:val="20"/>
          <w:lang w:val="en-GB"/>
        </w:rPr>
        <w:t>UAE and China ha</w:t>
      </w:r>
      <w:r w:rsidR="00E628E3">
        <w:rPr>
          <w:rFonts w:ascii="Arial" w:hAnsi="Arial"/>
          <w:sz w:val="20"/>
          <w:szCs w:val="20"/>
          <w:lang w:val="en-GB"/>
        </w:rPr>
        <w:t>ve</w:t>
      </w:r>
      <w:r>
        <w:rPr>
          <w:rFonts w:ascii="Arial" w:hAnsi="Arial"/>
          <w:sz w:val="20"/>
          <w:szCs w:val="20"/>
          <w:lang w:val="en-GB"/>
        </w:rPr>
        <w:t xml:space="preserve"> already signed 13 agreements </w:t>
      </w:r>
      <w:r w:rsidRPr="007258BB">
        <w:rPr>
          <w:rFonts w:ascii="Arial" w:hAnsi="Arial"/>
          <w:sz w:val="20"/>
          <w:szCs w:val="20"/>
          <w:lang w:val="en-GB"/>
        </w:rPr>
        <w:t>and memoranda of understanding</w:t>
      </w:r>
      <w:r>
        <w:rPr>
          <w:rFonts w:ascii="Arial" w:hAnsi="Arial"/>
          <w:sz w:val="20"/>
          <w:szCs w:val="20"/>
          <w:lang w:val="en-GB"/>
        </w:rPr>
        <w:t xml:space="preserve"> in several segments </w:t>
      </w:r>
      <w:r w:rsidRPr="007258BB">
        <w:rPr>
          <w:rFonts w:ascii="Arial" w:hAnsi="Arial"/>
          <w:sz w:val="20"/>
          <w:szCs w:val="20"/>
          <w:lang w:val="en-GB"/>
        </w:rPr>
        <w:t>allow</w:t>
      </w:r>
      <w:r w:rsidR="00E628E3">
        <w:rPr>
          <w:rFonts w:ascii="Arial" w:hAnsi="Arial"/>
          <w:sz w:val="20"/>
          <w:szCs w:val="20"/>
          <w:lang w:val="en-GB"/>
        </w:rPr>
        <w:t>ing</w:t>
      </w:r>
      <w:r w:rsidRPr="007258BB">
        <w:rPr>
          <w:rFonts w:ascii="Arial" w:hAnsi="Arial"/>
          <w:sz w:val="20"/>
          <w:szCs w:val="20"/>
          <w:lang w:val="en-GB"/>
        </w:rPr>
        <w:t xml:space="preserve"> the UAE to attract more investments from China, which is not currently ranked among the top 10 foreign direct investors of the federation</w:t>
      </w:r>
      <w:r w:rsidR="00D215AE">
        <w:rPr>
          <w:rFonts w:ascii="Arial" w:hAnsi="Arial"/>
          <w:sz w:val="20"/>
          <w:szCs w:val="20"/>
          <w:lang w:val="en-GB"/>
        </w:rPr>
        <w:t>.</w:t>
      </w:r>
    </w:p>
    <w:p w:rsidR="00DB7E61" w:rsidRDefault="00DB7E61">
      <w:pPr>
        <w:widowControl/>
        <w:suppressAutoHyphens/>
        <w:spacing w:line="270" w:lineRule="exact"/>
        <w:jc w:val="both"/>
        <w:rPr>
          <w:rFonts w:ascii="Arial" w:hAnsi="Arial"/>
          <w:sz w:val="20"/>
          <w:szCs w:val="20"/>
          <w:lang w:val="en-GB"/>
        </w:rPr>
      </w:pPr>
    </w:p>
    <w:p w:rsidR="00DB7E61" w:rsidRDefault="00B1235D">
      <w:pPr>
        <w:widowControl/>
        <w:suppressAutoHyphens/>
        <w:spacing w:line="270" w:lineRule="exact"/>
        <w:jc w:val="both"/>
        <w:rPr>
          <w:rFonts w:ascii="Arial" w:hAnsi="Arial"/>
          <w:sz w:val="20"/>
          <w:szCs w:val="20"/>
          <w:lang w:val="en-GB"/>
        </w:rPr>
      </w:pPr>
      <w:r>
        <w:rPr>
          <w:rFonts w:ascii="Arial" w:hAnsi="Arial"/>
          <w:sz w:val="20"/>
          <w:szCs w:val="20"/>
          <w:lang w:val="en-GB"/>
        </w:rPr>
        <w:t>H</w:t>
      </w:r>
      <w:r w:rsidR="00DB7E61">
        <w:rPr>
          <w:rFonts w:ascii="Arial" w:hAnsi="Arial"/>
          <w:sz w:val="20"/>
          <w:szCs w:val="20"/>
          <w:lang w:val="en-GB"/>
        </w:rPr>
        <w:t>owever, several concerns still arise over BRI</w:t>
      </w:r>
      <w:r>
        <w:rPr>
          <w:rFonts w:ascii="Arial" w:hAnsi="Arial"/>
          <w:sz w:val="20"/>
          <w:szCs w:val="20"/>
          <w:lang w:val="en-GB"/>
        </w:rPr>
        <w:t>. The geopolitical</w:t>
      </w:r>
      <w:r w:rsidR="00DB7E61">
        <w:rPr>
          <w:rFonts w:ascii="Arial" w:hAnsi="Arial"/>
          <w:sz w:val="20"/>
          <w:szCs w:val="20"/>
          <w:lang w:val="en-GB"/>
        </w:rPr>
        <w:t xml:space="preserve"> instability and political tensions</w:t>
      </w:r>
      <w:r>
        <w:rPr>
          <w:rFonts w:ascii="Arial" w:hAnsi="Arial"/>
          <w:sz w:val="20"/>
          <w:szCs w:val="20"/>
          <w:lang w:val="en-GB"/>
        </w:rPr>
        <w:t xml:space="preserve"> </w:t>
      </w:r>
      <w:r w:rsidR="00E628E3">
        <w:rPr>
          <w:rFonts w:ascii="Arial" w:hAnsi="Arial"/>
          <w:sz w:val="20"/>
          <w:szCs w:val="20"/>
          <w:lang w:val="en-GB"/>
        </w:rPr>
        <w:t xml:space="preserve">experienced </w:t>
      </w:r>
      <w:r>
        <w:rPr>
          <w:rFonts w:ascii="Arial" w:hAnsi="Arial"/>
          <w:sz w:val="20"/>
          <w:szCs w:val="20"/>
          <w:lang w:val="en-GB"/>
        </w:rPr>
        <w:t xml:space="preserve">by many countries involved in this initiative </w:t>
      </w:r>
      <w:r w:rsidR="00DB7E61">
        <w:rPr>
          <w:rFonts w:ascii="Arial" w:hAnsi="Arial"/>
          <w:sz w:val="20"/>
          <w:szCs w:val="20"/>
          <w:lang w:val="en-GB"/>
        </w:rPr>
        <w:t xml:space="preserve">could impact </w:t>
      </w:r>
      <w:r w:rsidR="00E628E3">
        <w:rPr>
          <w:rFonts w:ascii="Arial" w:hAnsi="Arial"/>
          <w:sz w:val="20"/>
          <w:szCs w:val="20"/>
          <w:lang w:val="en-GB"/>
        </w:rPr>
        <w:t xml:space="preserve">the </w:t>
      </w:r>
      <w:r w:rsidR="00DB7E61">
        <w:rPr>
          <w:rFonts w:ascii="Arial" w:hAnsi="Arial"/>
          <w:sz w:val="20"/>
          <w:szCs w:val="20"/>
          <w:lang w:val="en-GB"/>
        </w:rPr>
        <w:t xml:space="preserve">UAE in </w:t>
      </w:r>
      <w:r w:rsidR="00E628E3">
        <w:rPr>
          <w:rFonts w:ascii="Arial" w:hAnsi="Arial"/>
          <w:sz w:val="20"/>
          <w:szCs w:val="20"/>
          <w:lang w:val="en-GB"/>
        </w:rPr>
        <w:t xml:space="preserve">the event </w:t>
      </w:r>
      <w:r w:rsidR="00DB7E61">
        <w:rPr>
          <w:rFonts w:ascii="Arial" w:hAnsi="Arial"/>
          <w:sz w:val="20"/>
          <w:szCs w:val="20"/>
          <w:lang w:val="en-GB"/>
        </w:rPr>
        <w:t xml:space="preserve">of widespread regional crisis. At the same time, </w:t>
      </w:r>
      <w:r w:rsidR="00DB7E61" w:rsidRPr="00DB7E61">
        <w:rPr>
          <w:rFonts w:ascii="Arial" w:hAnsi="Arial"/>
          <w:sz w:val="20"/>
          <w:szCs w:val="20"/>
          <w:lang w:val="en-GB"/>
        </w:rPr>
        <w:t>the Chinese economy</w:t>
      </w:r>
      <w:r w:rsidR="00C9312B">
        <w:rPr>
          <w:rFonts w:ascii="Arial" w:hAnsi="Arial"/>
          <w:sz w:val="20"/>
          <w:szCs w:val="20"/>
          <w:lang w:val="en-GB"/>
        </w:rPr>
        <w:t xml:space="preserve"> slowdown could </w:t>
      </w:r>
      <w:r w:rsidR="00E628E3">
        <w:rPr>
          <w:rFonts w:ascii="Arial" w:hAnsi="Arial"/>
          <w:sz w:val="20"/>
          <w:szCs w:val="20"/>
          <w:lang w:val="en-GB"/>
        </w:rPr>
        <w:t xml:space="preserve">also </w:t>
      </w:r>
      <w:r w:rsidR="00DB7E61" w:rsidRPr="00DB7E61">
        <w:rPr>
          <w:rFonts w:ascii="Arial" w:hAnsi="Arial"/>
          <w:sz w:val="20"/>
          <w:szCs w:val="20"/>
          <w:lang w:val="en-GB"/>
        </w:rPr>
        <w:t xml:space="preserve">weigh on UAE industry, as </w:t>
      </w:r>
      <w:r w:rsidR="007802C8">
        <w:rPr>
          <w:rFonts w:ascii="Arial" w:hAnsi="Arial"/>
          <w:sz w:val="20"/>
          <w:szCs w:val="20"/>
          <w:lang w:val="en-GB"/>
        </w:rPr>
        <w:t>this</w:t>
      </w:r>
      <w:r w:rsidR="00DB7E61" w:rsidRPr="00DB7E61">
        <w:rPr>
          <w:rFonts w:ascii="Arial" w:hAnsi="Arial"/>
          <w:sz w:val="20"/>
          <w:szCs w:val="20"/>
          <w:lang w:val="en-GB"/>
        </w:rPr>
        <w:t xml:space="preserve"> would drag down the demand for UAE oil and petrochemical products</w:t>
      </w:r>
      <w:r w:rsidR="00C9312B">
        <w:rPr>
          <w:rFonts w:ascii="Arial" w:hAnsi="Arial"/>
          <w:sz w:val="20"/>
          <w:szCs w:val="20"/>
          <w:lang w:val="en-GB"/>
        </w:rPr>
        <w:t xml:space="preserve">. Moreover, </w:t>
      </w:r>
      <w:r w:rsidR="00F9016D">
        <w:rPr>
          <w:rFonts w:ascii="Arial" w:hAnsi="Arial"/>
          <w:sz w:val="20"/>
          <w:szCs w:val="20"/>
          <w:lang w:val="en-GB"/>
        </w:rPr>
        <w:t>any US additional</w:t>
      </w:r>
      <w:r w:rsidR="00AD2201">
        <w:rPr>
          <w:rFonts w:ascii="Arial" w:hAnsi="Arial"/>
          <w:sz w:val="20"/>
          <w:szCs w:val="20"/>
          <w:lang w:val="en-GB"/>
        </w:rPr>
        <w:t xml:space="preserve"> protectionist measures</w:t>
      </w:r>
      <w:r w:rsidR="00C9312B">
        <w:rPr>
          <w:rFonts w:ascii="Arial" w:hAnsi="Arial"/>
          <w:sz w:val="20"/>
          <w:szCs w:val="20"/>
          <w:lang w:val="en-GB"/>
        </w:rPr>
        <w:t xml:space="preserve"> against </w:t>
      </w:r>
      <w:r w:rsidR="00F9016D">
        <w:rPr>
          <w:rFonts w:ascii="Arial" w:hAnsi="Arial"/>
          <w:sz w:val="20"/>
          <w:szCs w:val="20"/>
          <w:lang w:val="en-GB"/>
        </w:rPr>
        <w:t>China</w:t>
      </w:r>
      <w:r w:rsidR="00C9312B">
        <w:rPr>
          <w:rFonts w:ascii="Arial" w:hAnsi="Arial"/>
          <w:sz w:val="20"/>
          <w:szCs w:val="20"/>
          <w:lang w:val="en-GB"/>
        </w:rPr>
        <w:t>, in the current trade war,</w:t>
      </w:r>
      <w:r w:rsidR="00F9016D">
        <w:rPr>
          <w:rFonts w:ascii="Arial" w:hAnsi="Arial"/>
          <w:sz w:val="20"/>
          <w:szCs w:val="20"/>
          <w:lang w:val="en-GB"/>
        </w:rPr>
        <w:t xml:space="preserve"> could negatively impact </w:t>
      </w:r>
      <w:r w:rsidR="00E628E3">
        <w:rPr>
          <w:rFonts w:ascii="Arial" w:hAnsi="Arial"/>
          <w:sz w:val="20"/>
          <w:szCs w:val="20"/>
          <w:lang w:val="en-GB"/>
        </w:rPr>
        <w:t xml:space="preserve">the </w:t>
      </w:r>
      <w:r w:rsidR="00F9016D">
        <w:rPr>
          <w:rFonts w:ascii="Arial" w:hAnsi="Arial"/>
          <w:sz w:val="20"/>
          <w:szCs w:val="20"/>
          <w:lang w:val="en-GB"/>
        </w:rPr>
        <w:t>UAE’s trade and logistics sectors.</w:t>
      </w:r>
    </w:p>
    <w:p w:rsidR="00A40435" w:rsidRDefault="00A40435">
      <w:pPr>
        <w:widowControl/>
        <w:suppressAutoHyphens/>
        <w:spacing w:line="270" w:lineRule="exact"/>
        <w:jc w:val="both"/>
        <w:rPr>
          <w:rFonts w:ascii="Arial" w:hAnsi="Arial"/>
          <w:sz w:val="20"/>
          <w:szCs w:val="20"/>
          <w:lang w:val="en-GB"/>
        </w:rPr>
      </w:pPr>
    </w:p>
    <w:p w:rsidR="00A40435" w:rsidRPr="00D11794" w:rsidRDefault="00A40435">
      <w:pPr>
        <w:widowControl/>
        <w:suppressAutoHyphens/>
        <w:spacing w:line="270" w:lineRule="exact"/>
        <w:jc w:val="both"/>
        <w:rPr>
          <w:rFonts w:ascii="Arial" w:hAnsi="Arial"/>
          <w:sz w:val="20"/>
          <w:szCs w:val="20"/>
          <w:lang w:val="en-GB"/>
        </w:rPr>
      </w:pPr>
    </w:p>
    <w:p w:rsidR="00E66CA1" w:rsidRPr="00D11794" w:rsidRDefault="00E66CA1" w:rsidP="00192721">
      <w:pPr>
        <w:widowControl/>
        <w:suppressAutoHyphens/>
        <w:spacing w:line="270" w:lineRule="exact"/>
        <w:jc w:val="both"/>
        <w:rPr>
          <w:rFonts w:ascii="Arial" w:hAnsi="Arial"/>
          <w:sz w:val="20"/>
          <w:szCs w:val="20"/>
          <w:lang w:val="en-GB"/>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033C99" w:rsidRDefault="00033C99" w:rsidP="004B0CC9">
      <w:pPr>
        <w:widowControl/>
        <w:suppressAutoHyphens/>
        <w:spacing w:line="270" w:lineRule="exact"/>
        <w:jc w:val="both"/>
        <w:rPr>
          <w:rFonts w:ascii="Arial" w:eastAsia="新細明體" w:hAnsi="Arial"/>
          <w:sz w:val="20"/>
          <w:szCs w:val="20"/>
          <w:lang w:val="en-US" w:eastAsia="zh-TW"/>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Pr="004B0CC9" w:rsidRDefault="004B0CC9" w:rsidP="004B0CC9">
      <w:pPr>
        <w:widowControl/>
        <w:suppressAutoHyphens/>
        <w:spacing w:line="270" w:lineRule="exact"/>
        <w:jc w:val="both"/>
        <w:rPr>
          <w:rFonts w:ascii="Arial" w:eastAsia="新細明體" w:hAnsi="Arial"/>
          <w:sz w:val="20"/>
          <w:szCs w:val="20"/>
          <w:lang w:val="en-US" w:eastAsia="zh-TW"/>
        </w:rPr>
      </w:pPr>
    </w:p>
    <w:p w:rsidR="004B0CC9" w:rsidRPr="00EC702B" w:rsidRDefault="004B0CC9" w:rsidP="004B0CC9">
      <w:pPr>
        <w:widowControl/>
        <w:rPr>
          <w:rFonts w:ascii="Arial" w:eastAsia="Arial" w:hAnsi="Arial" w:cs="Arial"/>
          <w:b/>
          <w:bCs/>
          <w:sz w:val="18"/>
          <w:szCs w:val="18"/>
          <w:bdr w:val="none" w:sz="0" w:space="0" w:color="auto" w:frame="1"/>
          <w:lang w:val="en-US" w:eastAsia="en-GB" w:bidi="en-GB"/>
        </w:rPr>
      </w:pPr>
      <w:r w:rsidRPr="000F146F">
        <w:rPr>
          <w:rFonts w:ascii="Arial" w:hAnsi="Arial" w:cs="Arial"/>
          <w:b/>
          <w:sz w:val="18"/>
          <w:szCs w:val="18"/>
        </w:rPr>
        <w:t>MEDIA</w:t>
      </w:r>
      <w:r w:rsidRPr="00127BAA">
        <w:rPr>
          <w:rFonts w:ascii="Arial" w:hAnsi="Arial" w:cs="Arial"/>
          <w:b/>
          <w:sz w:val="18"/>
          <w:szCs w:val="18"/>
        </w:rPr>
        <w:t xml:space="preserve"> </w:t>
      </w:r>
      <w:r w:rsidRPr="000F146F">
        <w:rPr>
          <w:rFonts w:ascii="Arial" w:hAnsi="Arial" w:cs="Arial"/>
          <w:b/>
          <w:sz w:val="18"/>
          <w:szCs w:val="18"/>
        </w:rPr>
        <w:t>CONTACT</w:t>
      </w:r>
    </w:p>
    <w:p w:rsidR="004B0CC9" w:rsidRPr="002C4FF1" w:rsidRDefault="00A4540C" w:rsidP="004B0CC9">
      <w:pPr>
        <w:pStyle w:val="Footer"/>
        <w:spacing w:line="200" w:lineRule="exact"/>
        <w:rPr>
          <w:rStyle w:val="Hyperlink"/>
          <w:rFonts w:ascii="Arial" w:hAnsi="Arial" w:cs="Arial"/>
          <w:sz w:val="18"/>
          <w:szCs w:val="18"/>
          <w:lang w:val="de-DE"/>
        </w:rPr>
      </w:pPr>
      <w:r>
        <w:rPr>
          <w:rFonts w:ascii="Arial" w:eastAsia="新細明體" w:hAnsi="Arial"/>
          <w:sz w:val="20"/>
          <w:lang w:val="de-DE" w:eastAsia="zh-TW"/>
        </w:rPr>
        <w:t>Grazia LI</w:t>
      </w:r>
      <w:r>
        <w:rPr>
          <w:rFonts w:ascii="Arial" w:hAnsi="Arial"/>
          <w:sz w:val="20"/>
          <w:lang w:val="de-DE"/>
        </w:rPr>
        <w:t xml:space="preserve"> - T. +8</w:t>
      </w:r>
      <w:r>
        <w:rPr>
          <w:rFonts w:ascii="Arial" w:eastAsia="新細明體" w:hAnsi="Arial"/>
          <w:sz w:val="20"/>
          <w:lang w:val="de-DE" w:eastAsia="zh-TW"/>
        </w:rPr>
        <w:t>86</w:t>
      </w:r>
      <w:r>
        <w:rPr>
          <w:rFonts w:ascii="Arial" w:hAnsi="Arial"/>
          <w:sz w:val="20"/>
          <w:lang w:val="de-DE"/>
        </w:rPr>
        <w:t xml:space="preserve"> </w:t>
      </w:r>
      <w:r>
        <w:rPr>
          <w:rFonts w:ascii="Arial" w:eastAsia="新細明體" w:hAnsi="Arial"/>
          <w:sz w:val="20"/>
          <w:lang w:val="de-DE" w:eastAsia="zh-TW"/>
        </w:rPr>
        <w:t>2 7734 0287</w:t>
      </w:r>
      <w:r>
        <w:rPr>
          <w:rFonts w:ascii="Arial" w:hAnsi="Arial"/>
          <w:sz w:val="20"/>
          <w:lang w:val="de-DE"/>
        </w:rPr>
        <w:t xml:space="preserve"> – </w:t>
      </w:r>
      <w:hyperlink r:id="rId9" w:history="1">
        <w:r>
          <w:rPr>
            <w:rStyle w:val="Hyperlink"/>
            <w:rFonts w:ascii="Arial" w:eastAsia="新細明體" w:hAnsi="Arial"/>
            <w:sz w:val="20"/>
            <w:lang w:val="de-DE" w:eastAsia="zh-TW"/>
          </w:rPr>
          <w:t>grazia.li</w:t>
        </w:r>
        <w:r>
          <w:rPr>
            <w:rStyle w:val="Hyperlink"/>
            <w:rFonts w:ascii="Arial" w:hAnsi="Arial"/>
            <w:sz w:val="20"/>
            <w:lang w:val="de-DE"/>
          </w:rPr>
          <w:t>@coface.com</w:t>
        </w:r>
      </w:hyperlink>
    </w:p>
    <w:p w:rsidR="004B0CC9" w:rsidRPr="002C4FF1" w:rsidRDefault="004B0CC9" w:rsidP="004B0CC9">
      <w:pPr>
        <w:spacing w:line="200" w:lineRule="exact"/>
        <w:rPr>
          <w:rFonts w:ascii="Arial" w:hAnsi="Arial" w:cs="Arial"/>
          <w:sz w:val="18"/>
          <w:szCs w:val="18"/>
          <w:lang w:val="de-DE" w:eastAsia="en-GB" w:bidi="en-GB"/>
        </w:rPr>
      </w:pPr>
    </w:p>
    <w:tbl>
      <w:tblPr>
        <w:tblpPr w:leftFromText="141" w:rightFromText="141" w:bottomFromText="200" w:vertAnchor="text" w:horzAnchor="margin" w:tblpY="58"/>
        <w:tblW w:w="8789" w:type="dxa"/>
        <w:tblLayout w:type="fixed"/>
        <w:tblCellMar>
          <w:left w:w="0" w:type="dxa"/>
          <w:right w:w="0" w:type="dxa"/>
        </w:tblCellMar>
        <w:tblLook w:val="00A0" w:firstRow="1" w:lastRow="0" w:firstColumn="1" w:lastColumn="0" w:noHBand="0" w:noVBand="0"/>
      </w:tblPr>
      <w:tblGrid>
        <w:gridCol w:w="8789"/>
      </w:tblGrid>
      <w:tr w:rsidR="004B0CC9" w:rsidRPr="00896CAE" w:rsidTr="0096418B">
        <w:trPr>
          <w:trHeight w:val="2417"/>
        </w:trPr>
        <w:tc>
          <w:tcPr>
            <w:tcW w:w="8789" w:type="dxa"/>
            <w:shd w:val="clear" w:color="auto" w:fill="E9EDF4"/>
          </w:tcPr>
          <w:p w:rsidR="004B0CC9" w:rsidRPr="00B479F4" w:rsidRDefault="004B0CC9" w:rsidP="0096418B">
            <w:pPr>
              <w:spacing w:before="60" w:after="60" w:line="240" w:lineRule="atLeast"/>
              <w:ind w:left="142" w:right="113"/>
              <w:jc w:val="both"/>
              <w:rPr>
                <w:rFonts w:ascii="Arial" w:hAnsi="Arial" w:cs="Arial"/>
                <w:b/>
                <w:sz w:val="16"/>
                <w:szCs w:val="16"/>
                <w:lang w:val="en-US"/>
              </w:rPr>
            </w:pPr>
            <w:proofErr w:type="spellStart"/>
            <w:r w:rsidRPr="00605C99">
              <w:rPr>
                <w:rFonts w:ascii="Arial" w:hAnsi="Arial" w:cs="Arial"/>
                <w:b/>
                <w:sz w:val="16"/>
                <w:szCs w:val="16"/>
                <w:lang w:val="en-US"/>
              </w:rPr>
              <w:t>Coface</w:t>
            </w:r>
            <w:proofErr w:type="spellEnd"/>
            <w:r w:rsidRPr="00605C99">
              <w:rPr>
                <w:rFonts w:ascii="Arial" w:hAnsi="Arial" w:cs="Arial"/>
                <w:b/>
                <w:sz w:val="16"/>
                <w:szCs w:val="16"/>
                <w:lang w:val="en-US"/>
              </w:rPr>
              <w:t>: for trade - Building business together</w:t>
            </w:r>
          </w:p>
          <w:p w:rsidR="004B0CC9" w:rsidRPr="00710B0A" w:rsidRDefault="004B0CC9" w:rsidP="0096418B">
            <w:pPr>
              <w:spacing w:before="60" w:after="60" w:line="240" w:lineRule="atLeast"/>
              <w:ind w:left="142" w:right="113"/>
              <w:jc w:val="both"/>
              <w:rPr>
                <w:rFonts w:ascii="Arial" w:hAnsi="Arial" w:cs="Arial"/>
                <w:sz w:val="16"/>
                <w:szCs w:val="16"/>
                <w:lang w:val="en-US"/>
              </w:rPr>
            </w:pPr>
            <w:r>
              <w:rPr>
                <w:noProof/>
                <w:lang w:val="en-US" w:eastAsia="zh-TW" w:bidi="ar-SA"/>
              </w:rPr>
              <w:drawing>
                <wp:anchor distT="0" distB="0" distL="114300" distR="114300" simplePos="0" relativeHeight="251661312" behindDoc="0" locked="0" layoutInCell="1" allowOverlap="1" wp14:anchorId="077E86B5" wp14:editId="1C027877">
                  <wp:simplePos x="0" y="0"/>
                  <wp:positionH relativeFrom="column">
                    <wp:posOffset>4848860</wp:posOffset>
                  </wp:positionH>
                  <wp:positionV relativeFrom="paragraph">
                    <wp:posOffset>911860</wp:posOffset>
                  </wp:positionV>
                  <wp:extent cx="571500" cy="565785"/>
                  <wp:effectExtent l="0" t="0" r="0" b="5715"/>
                  <wp:wrapNone/>
                  <wp:docPr id="11" name="Image 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pic:spPr>
                      </pic:pic>
                    </a:graphicData>
                  </a:graphic>
                  <wp14:sizeRelH relativeFrom="page">
                    <wp14:pctWidth>0</wp14:pctWidth>
                  </wp14:sizeRelH>
                  <wp14:sizeRelV relativeFrom="page">
                    <wp14:pctHeight>0</wp14:pctHeight>
                  </wp14:sizeRelV>
                </wp:anchor>
              </w:drawing>
            </w:r>
            <w:r w:rsidRPr="00B479F4">
              <w:rPr>
                <w:rFonts w:ascii="Arial" w:hAnsi="Arial" w:cs="Arial"/>
                <w:sz w:val="16"/>
                <w:szCs w:val="16"/>
                <w:lang w:val="en-US"/>
              </w:rPr>
              <w:t xml:space="preserve">70 years of experience and the most finely meshed network have made </w:t>
            </w:r>
            <w:proofErr w:type="spellStart"/>
            <w:r w:rsidRPr="00B479F4">
              <w:rPr>
                <w:rFonts w:ascii="Arial" w:hAnsi="Arial" w:cs="Arial"/>
                <w:sz w:val="16"/>
                <w:szCs w:val="16"/>
                <w:lang w:val="en-US"/>
              </w:rPr>
              <w:t>Coface</w:t>
            </w:r>
            <w:proofErr w:type="spellEnd"/>
            <w:r w:rsidRPr="00B479F4">
              <w:rPr>
                <w:rFonts w:ascii="Arial" w:hAnsi="Arial" w:cs="Arial"/>
                <w:sz w:val="16"/>
                <w:szCs w:val="16"/>
                <w:lang w:val="en-US"/>
              </w:rPr>
              <w:t xml:space="preserve"> a reference in credit insurance, risk management and the global economy. With the ambition to become the most agile, global trade credit insurance partner in the industry, </w:t>
            </w:r>
            <w:proofErr w:type="spellStart"/>
            <w:r w:rsidRPr="00B479F4">
              <w:rPr>
                <w:rFonts w:ascii="Arial" w:hAnsi="Arial" w:cs="Arial"/>
                <w:sz w:val="16"/>
                <w:szCs w:val="16"/>
                <w:lang w:val="en-US"/>
              </w:rPr>
              <w:t>Coface’s</w:t>
            </w:r>
            <w:proofErr w:type="spellEnd"/>
            <w:r w:rsidRPr="00B479F4">
              <w:rPr>
                <w:rFonts w:ascii="Arial" w:hAnsi="Arial" w:cs="Arial"/>
                <w:sz w:val="16"/>
                <w:szCs w:val="16"/>
                <w:lang w:val="en-US"/>
              </w:rPr>
              <w:t xml:space="preserve"> experts work to the beat of the world economy, supporting 50,</w:t>
            </w:r>
            <w:r w:rsidRPr="00B479F4">
              <w:rPr>
                <w:rFonts w:ascii="Arial" w:eastAsia="Times New Roman" w:hAnsi="Arial" w:cs="Arial"/>
                <w:color w:val="000000"/>
                <w:sz w:val="16"/>
                <w:szCs w:val="18"/>
                <w:lang w:val="en-US"/>
              </w:rPr>
              <w:t>000</w:t>
            </w:r>
            <w:r w:rsidRPr="00B479F4">
              <w:rPr>
                <w:rFonts w:ascii="Arial" w:hAnsi="Arial" w:cs="Arial"/>
                <w:sz w:val="16"/>
                <w:szCs w:val="16"/>
                <w:lang w:val="en-US"/>
              </w:rPr>
              <w:t xml:space="preserve"> clients in building successful, growing and dynamic businesses. The Group’s services and solutions protect and help companies take credit decisions to improve their ability to sell on both their domestic and export markets. In 2017, </w:t>
            </w:r>
            <w:proofErr w:type="spellStart"/>
            <w:r w:rsidRPr="00B479F4">
              <w:rPr>
                <w:rFonts w:ascii="Arial" w:hAnsi="Arial" w:cs="Arial"/>
                <w:sz w:val="16"/>
                <w:szCs w:val="16"/>
                <w:lang w:val="en-US"/>
              </w:rPr>
              <w:t>Coface</w:t>
            </w:r>
            <w:proofErr w:type="spellEnd"/>
            <w:r w:rsidRPr="00B479F4">
              <w:rPr>
                <w:rFonts w:ascii="Arial" w:hAnsi="Arial" w:cs="Arial"/>
                <w:sz w:val="16"/>
                <w:szCs w:val="16"/>
                <w:lang w:val="en-US"/>
              </w:rPr>
              <w:t xml:space="preserve"> employed ~4,100 people in 100 countries and registered turnover of €1.4 billion.</w:t>
            </w:r>
          </w:p>
          <w:p w:rsidR="004B0CC9" w:rsidRPr="00710B0A" w:rsidRDefault="00F25005" w:rsidP="0096418B">
            <w:pPr>
              <w:spacing w:before="60" w:after="60" w:line="240" w:lineRule="atLeast"/>
              <w:ind w:right="113"/>
              <w:jc w:val="center"/>
              <w:rPr>
                <w:rFonts w:ascii="Arial" w:hAnsi="Arial" w:cs="Arial"/>
                <w:color w:val="0000FF"/>
                <w:sz w:val="18"/>
                <w:szCs w:val="18"/>
                <w:u w:val="single"/>
                <w:lang w:val="en-US"/>
              </w:rPr>
            </w:pPr>
            <w:hyperlink r:id="rId11" w:history="1">
              <w:r w:rsidR="004B0CC9" w:rsidRPr="00710B0A">
                <w:rPr>
                  <w:rStyle w:val="Hyperlink"/>
                  <w:rFonts w:ascii="Arial" w:hAnsi="Arial" w:cs="Arial"/>
                  <w:sz w:val="18"/>
                  <w:szCs w:val="18"/>
                  <w:lang w:val="en-US"/>
                </w:rPr>
                <w:t>www.coface.com</w:t>
              </w:r>
            </w:hyperlink>
          </w:p>
          <w:p w:rsidR="004B0CC9" w:rsidRPr="00710B0A" w:rsidRDefault="004B0CC9" w:rsidP="0096418B">
            <w:pPr>
              <w:tabs>
                <w:tab w:val="left" w:pos="8202"/>
              </w:tabs>
              <w:autoSpaceDE w:val="0"/>
              <w:autoSpaceDN w:val="0"/>
              <w:adjustRightInd w:val="0"/>
              <w:spacing w:line="240" w:lineRule="atLeast"/>
              <w:ind w:left="348" w:right="1587"/>
              <w:jc w:val="right"/>
              <w:rPr>
                <w:rFonts w:ascii="Arial" w:hAnsi="Arial" w:cs="Arial"/>
                <w:sz w:val="16"/>
                <w:szCs w:val="18"/>
                <w:lang w:val="en-US"/>
              </w:rPr>
            </w:pPr>
            <w:r w:rsidRPr="00710B0A">
              <w:rPr>
                <w:rFonts w:ascii="Arial" w:hAnsi="Arial" w:cs="Arial"/>
                <w:sz w:val="16"/>
                <w:szCs w:val="18"/>
                <w:lang w:val="en-US"/>
              </w:rPr>
              <w:t>COFACE SA. is listed on Euronext Paris – Compartment A</w:t>
            </w:r>
          </w:p>
          <w:p w:rsidR="004B0CC9" w:rsidRDefault="004B0CC9" w:rsidP="0096418B">
            <w:pPr>
              <w:tabs>
                <w:tab w:val="left" w:pos="8202"/>
              </w:tabs>
              <w:autoSpaceDE w:val="0"/>
              <w:autoSpaceDN w:val="0"/>
              <w:adjustRightInd w:val="0"/>
              <w:spacing w:line="240" w:lineRule="atLeast"/>
              <w:ind w:left="348" w:right="1587"/>
              <w:jc w:val="right"/>
              <w:rPr>
                <w:rFonts w:ascii="Arial" w:hAnsi="Arial" w:cs="Arial"/>
                <w:sz w:val="16"/>
                <w:szCs w:val="18"/>
              </w:rPr>
            </w:pPr>
            <w:r>
              <w:rPr>
                <w:rFonts w:ascii="Arial" w:hAnsi="Arial" w:cs="Arial"/>
                <w:sz w:val="16"/>
                <w:szCs w:val="18"/>
              </w:rPr>
              <w:t xml:space="preserve">ISIN: FR0010667147 / </w:t>
            </w:r>
            <w:proofErr w:type="spellStart"/>
            <w:r>
              <w:rPr>
                <w:rFonts w:ascii="Arial" w:hAnsi="Arial" w:cs="Arial"/>
                <w:sz w:val="16"/>
                <w:szCs w:val="18"/>
              </w:rPr>
              <w:t>Ticker</w:t>
            </w:r>
            <w:proofErr w:type="spellEnd"/>
            <w:r>
              <w:rPr>
                <w:rFonts w:ascii="Arial" w:hAnsi="Arial" w:cs="Arial"/>
                <w:sz w:val="16"/>
                <w:szCs w:val="18"/>
              </w:rPr>
              <w:t>: COFA</w:t>
            </w:r>
          </w:p>
          <w:p w:rsidR="004B0CC9" w:rsidRPr="00896CAE" w:rsidRDefault="004B0CC9" w:rsidP="0096418B">
            <w:pPr>
              <w:tabs>
                <w:tab w:val="left" w:pos="8202"/>
              </w:tabs>
              <w:autoSpaceDE w:val="0"/>
              <w:autoSpaceDN w:val="0"/>
              <w:adjustRightInd w:val="0"/>
              <w:spacing w:line="240" w:lineRule="atLeast"/>
              <w:ind w:right="1587"/>
              <w:rPr>
                <w:rFonts w:ascii="Arial" w:hAnsi="Arial" w:cs="Arial"/>
                <w:sz w:val="16"/>
                <w:szCs w:val="18"/>
                <w:u w:val="single"/>
                <w:lang w:val="en-US" w:eastAsia="en-GB" w:bidi="en-GB"/>
              </w:rPr>
            </w:pPr>
          </w:p>
        </w:tc>
      </w:tr>
    </w:tbl>
    <w:p w:rsidR="008A5AF4" w:rsidRPr="00D11794" w:rsidRDefault="008A5AF4" w:rsidP="008A5AF4">
      <w:pPr>
        <w:suppressAutoHyphens/>
        <w:spacing w:line="270" w:lineRule="exact"/>
        <w:jc w:val="both"/>
        <w:rPr>
          <w:rFonts w:ascii="Arial" w:eastAsia="新細明體" w:hAnsi="Arial"/>
          <w:sz w:val="20"/>
          <w:szCs w:val="20"/>
          <w:lang w:val="en-GB"/>
        </w:rPr>
      </w:pPr>
    </w:p>
    <w:sectPr w:rsidR="008A5AF4" w:rsidRPr="00D11794" w:rsidSect="00041436">
      <w:headerReference w:type="default" r:id="rId12"/>
      <w:footerReference w:type="default" r:id="rId13"/>
      <w:footnotePr>
        <w:pos w:val="beneathText"/>
      </w:footnotePr>
      <w:pgSz w:w="12240" w:h="15840" w:code="1"/>
      <w:pgMar w:top="3118" w:right="1361" w:bottom="900" w:left="2155" w:header="306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05" w:rsidRDefault="00F25005">
      <w:r>
        <w:separator/>
      </w:r>
    </w:p>
  </w:endnote>
  <w:endnote w:type="continuationSeparator" w:id="0">
    <w:p w:rsidR="00F25005" w:rsidRDefault="00F2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ITCLegacySansLTBookRegular">
    <w:altName w:val="Times New Roman"/>
    <w:charset w:val="00"/>
    <w:family w:val="auto"/>
    <w:pitch w:val="default"/>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0A" w:rsidRDefault="00F75D9E">
    <w:pPr>
      <w:pStyle w:val="Footer"/>
      <w:ind w:right="360"/>
    </w:pPr>
    <w:r>
      <w:rPr>
        <w:noProof/>
        <w:lang w:val="en-US" w:eastAsia="zh-TW" w:bidi="ar-SA"/>
      </w:rPr>
      <mc:AlternateContent>
        <mc:Choice Requires="wps">
          <w:drawing>
            <wp:anchor distT="0" distB="0" distL="0" distR="0" simplePos="0" relativeHeight="251656192" behindDoc="0" locked="0" layoutInCell="1" allowOverlap="1" wp14:anchorId="25D3EADB" wp14:editId="4DE587C8">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0A" w:rsidRDefault="0075300A">
                          <w:pPr>
                            <w:pStyle w:val="Footer"/>
                          </w:pPr>
                          <w:r>
                            <w:rPr>
                              <w:rStyle w:val="PageNumber"/>
                            </w:rPr>
                            <w:fldChar w:fldCharType="begin"/>
                          </w:r>
                          <w:r>
                            <w:rPr>
                              <w:rStyle w:val="PageNumber"/>
                            </w:rPr>
                            <w:instrText xml:space="preserve"> PAGE </w:instrText>
                          </w:r>
                          <w:r>
                            <w:rPr>
                              <w:rStyle w:val="PageNumber"/>
                            </w:rPr>
                            <w:fldChar w:fldCharType="separate"/>
                          </w:r>
                          <w:r w:rsidR="00F9457B">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0.9pt;margin-top:.05pt;width:6pt;height:1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5/ig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" stroked="f">
              <v:fill opacity="0"/>
              <v:textbox inset="0,0,0,0">
                <w:txbxContent>
                  <w:p w:rsidR="0075300A" w:rsidRDefault="0075300A">
                    <w:pPr>
                      <w:pStyle w:val="Footer"/>
                    </w:pPr>
                    <w:r>
                      <w:rPr>
                        <w:rStyle w:val="PageNumber"/>
                      </w:rPr>
                      <w:fldChar w:fldCharType="begin"/>
                    </w:r>
                    <w:r>
                      <w:rPr>
                        <w:rStyle w:val="PageNumber"/>
                      </w:rPr>
                      <w:instrText xml:space="preserve"> PAGE </w:instrText>
                    </w:r>
                    <w:r>
                      <w:rPr>
                        <w:rStyle w:val="PageNumber"/>
                      </w:rPr>
                      <w:fldChar w:fldCharType="separate"/>
                    </w:r>
                    <w:r w:rsidR="00F9457B">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05" w:rsidRDefault="00F25005">
      <w:r>
        <w:separator/>
      </w:r>
    </w:p>
  </w:footnote>
  <w:footnote w:type="continuationSeparator" w:id="0">
    <w:p w:rsidR="00F25005" w:rsidRDefault="00F25005">
      <w:r>
        <w:continuationSeparator/>
      </w:r>
    </w:p>
  </w:footnote>
  <w:footnote w:id="1">
    <w:p w:rsidR="00C9312B" w:rsidRPr="000100A4" w:rsidRDefault="00C9312B">
      <w:pPr>
        <w:pStyle w:val="FootnoteText"/>
        <w:rPr>
          <w:lang w:val="en-US"/>
        </w:rPr>
      </w:pPr>
      <w:r>
        <w:rPr>
          <w:rStyle w:val="FootnoteReference"/>
        </w:rPr>
        <w:footnoteRef/>
      </w:r>
      <w:r w:rsidRPr="000100A4">
        <w:rPr>
          <w:lang w:val="en-US"/>
        </w:rPr>
        <w:t xml:space="preserve"> </w:t>
      </w:r>
      <w:r w:rsidR="00015047" w:rsidRPr="000100A4">
        <w:rPr>
          <w:rFonts w:ascii="Arial" w:hAnsi="Arial" w:cs="Arial"/>
          <w:sz w:val="18"/>
          <w:szCs w:val="18"/>
          <w:lang w:val="tr-TR"/>
        </w:rPr>
        <w:t>The Belt &amp; Road Initiative announced by China in 2013 is an initiative that aims to connect Asia, Africa and Europe through land and sea through six economic corridors.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0A" w:rsidRDefault="00A754F5">
    <w:pPr>
      <w:pStyle w:val="Header"/>
    </w:pPr>
    <w:r>
      <w:rPr>
        <w:noProof/>
        <w:lang w:val="en-US" w:eastAsia="zh-TW" w:bidi="ar-SA"/>
      </w:rPr>
      <mc:AlternateContent>
        <mc:Choice Requires="wps">
          <w:drawing>
            <wp:anchor distT="0" distB="0" distL="114935" distR="114935" simplePos="0" relativeHeight="251660288" behindDoc="1" locked="0" layoutInCell="1" allowOverlap="1" wp14:anchorId="1A03E3F6" wp14:editId="224D1A94">
              <wp:simplePos x="0" y="0"/>
              <wp:positionH relativeFrom="column">
                <wp:posOffset>-1270</wp:posOffset>
              </wp:positionH>
              <wp:positionV relativeFrom="page">
                <wp:posOffset>1541780</wp:posOffset>
              </wp:positionV>
              <wp:extent cx="5755005" cy="330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4F5" w:rsidRPr="00EA4A78" w:rsidRDefault="00A754F5" w:rsidP="00A754F5">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pt;margin-top:121.4pt;width:453.15pt;height:2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" stroked="f">
              <v:fill opacity="0"/>
              <v:textbox inset="0,0,0,0">
                <w:txbxContent>
                  <w:p w:rsidR="00A754F5" w:rsidRPr="00EA4A78" w:rsidRDefault="00A754F5" w:rsidP="00A754F5">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v:textbox>
              <w10:wrap anchory="page"/>
            </v:shape>
          </w:pict>
        </mc:Fallback>
      </mc:AlternateContent>
    </w:r>
    <w:r w:rsidR="00F75D9E">
      <w:rPr>
        <w:noProof/>
        <w:lang w:val="en-US" w:eastAsia="zh-TW" w:bidi="ar-SA"/>
      </w:rPr>
      <w:drawing>
        <wp:anchor distT="0" distB="0" distL="114935" distR="114935" simplePos="0" relativeHeight="251657216" behindDoc="1" locked="0" layoutInCell="1" allowOverlap="1" wp14:anchorId="508EF92C" wp14:editId="17F9EADF">
          <wp:simplePos x="0" y="0"/>
          <wp:positionH relativeFrom="column">
            <wp:posOffset>-458470</wp:posOffset>
          </wp:positionH>
          <wp:positionV relativeFrom="page">
            <wp:posOffset>585470</wp:posOffset>
          </wp:positionV>
          <wp:extent cx="5761990" cy="131572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75D9E">
      <w:rPr>
        <w:noProof/>
        <w:lang w:val="en-US" w:eastAsia="zh-TW" w:bidi="ar-SA"/>
      </w:rPr>
      <mc:AlternateContent>
        <mc:Choice Requires="wps">
          <w:drawing>
            <wp:anchor distT="0" distB="0" distL="114300" distR="114300" simplePos="0" relativeHeight="251658240" behindDoc="1" locked="0" layoutInCell="1" allowOverlap="1" wp14:anchorId="0FB69E68" wp14:editId="6BE7AE5B">
              <wp:simplePos x="0" y="0"/>
              <wp:positionH relativeFrom="page">
                <wp:posOffset>107950</wp:posOffset>
              </wp:positionH>
              <wp:positionV relativeFrom="page">
                <wp:posOffset>3564255</wp:posOffset>
              </wp:positionV>
              <wp:extent cx="107950" cy="0"/>
              <wp:effectExtent l="12700" t="11430" r="12700" b="7620"/>
              <wp:wrapNone/>
              <wp:docPr id="3"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3973F4" id="Connecteur droit 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5"/>
    <w:lvl w:ilvl="0">
      <w:start w:val="1"/>
      <w:numFmt w:val="bullet"/>
      <w:lvlText w:val=""/>
      <w:lvlJc w:val="left"/>
      <w:pPr>
        <w:tabs>
          <w:tab w:val="num" w:pos="792"/>
        </w:tabs>
        <w:ind w:left="792" w:hanging="360"/>
      </w:pPr>
      <w:rPr>
        <w:rFonts w:ascii="Symbol" w:hAnsi="Symbol"/>
        <w:color w:val="auto"/>
        <w:w w:val="100"/>
      </w:rPr>
    </w:lvl>
  </w:abstractNum>
  <w:abstractNum w:abstractNumId="2">
    <w:nsid w:val="00000003"/>
    <w:multiLevelType w:val="multilevel"/>
    <w:tmpl w:val="00000003"/>
    <w:name w:val="WW8Num9"/>
    <w:lvl w:ilvl="0">
      <w:start w:val="1"/>
      <w:numFmt w:val="bullet"/>
      <w:lvlText w:val=""/>
      <w:lvlJc w:val="left"/>
      <w:pPr>
        <w:tabs>
          <w:tab w:val="num" w:pos="2340"/>
        </w:tabs>
        <w:ind w:left="2340" w:hanging="360"/>
      </w:pPr>
      <w:rPr>
        <w:rFonts w:ascii="Symbol" w:hAnsi="Symbol"/>
        <w:color w:val="000080"/>
      </w:rPr>
    </w:lvl>
    <w:lvl w:ilvl="1">
      <w:start w:val="1"/>
      <w:numFmt w:val="bullet"/>
      <w:lvlText w:val=""/>
      <w:lvlJc w:val="left"/>
      <w:pPr>
        <w:tabs>
          <w:tab w:val="num" w:pos="1440"/>
        </w:tabs>
        <w:ind w:left="1440" w:hanging="360"/>
      </w:pPr>
      <w:rPr>
        <w:rFonts w:ascii="Wingdings" w:hAnsi="Wingdings"/>
        <w:color w:val="auto"/>
      </w:rPr>
    </w:lvl>
    <w:lvl w:ilvl="2">
      <w:numFmt w:val="bullet"/>
      <w:lvlText w:val="-"/>
      <w:lvlJc w:val="left"/>
      <w:pPr>
        <w:tabs>
          <w:tab w:val="num" w:pos="2505"/>
        </w:tabs>
        <w:ind w:left="2505" w:hanging="705"/>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10FB2865"/>
    <w:multiLevelType w:val="hybridMultilevel"/>
    <w:tmpl w:val="BBB0FA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CB56112"/>
    <w:multiLevelType w:val="hybridMultilevel"/>
    <w:tmpl w:val="5A226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32702F9"/>
    <w:multiLevelType w:val="hybridMultilevel"/>
    <w:tmpl w:val="89342EEA"/>
    <w:lvl w:ilvl="0" w:tplc="687862F4">
      <w:numFmt w:val="bullet"/>
      <w:lvlText w:val="-"/>
      <w:lvlJc w:val="left"/>
      <w:pPr>
        <w:ind w:left="720" w:hanging="360"/>
      </w:pPr>
      <w:rPr>
        <w:rFonts w:ascii="Arial" w:eastAsia="MS Mincho" w:hAnsi="Arial" w:hint="default"/>
        <w:b/>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0B10B6"/>
    <w:multiLevelType w:val="hybridMultilevel"/>
    <w:tmpl w:val="6672AC02"/>
    <w:lvl w:ilvl="0" w:tplc="655A9F04">
      <w:start w:val="67"/>
      <w:numFmt w:val="bullet"/>
      <w:lvlText w:val=""/>
      <w:lvlJc w:val="left"/>
      <w:pPr>
        <w:ind w:left="720" w:hanging="360"/>
      </w:pPr>
      <w:rPr>
        <w:rFonts w:ascii="Symbol" w:eastAsia="MS PGothic" w:hAnsi="Symbol" w:cs="Arial" w:hint="default"/>
        <w:color w:val="CD03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20032"/>
    <w:multiLevelType w:val="hybridMultilevel"/>
    <w:tmpl w:val="695C44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115387D"/>
    <w:multiLevelType w:val="hybridMultilevel"/>
    <w:tmpl w:val="BD202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A12597"/>
    <w:multiLevelType w:val="hybridMultilevel"/>
    <w:tmpl w:val="70A8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5"/>
  </w:num>
  <w:num w:numId="9">
    <w:abstractNumId w:val="4"/>
  </w:num>
  <w:num w:numId="10">
    <w:abstractNumId w:val="10"/>
  </w:num>
  <w:num w:numId="11">
    <w:abstractNumId w:val="9"/>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KS">
    <w15:presenceInfo w15:providerId="None" w15:userId="C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C6"/>
    <w:rsid w:val="0000050B"/>
    <w:rsid w:val="0000564F"/>
    <w:rsid w:val="00006615"/>
    <w:rsid w:val="0000717D"/>
    <w:rsid w:val="000100A4"/>
    <w:rsid w:val="00011C2A"/>
    <w:rsid w:val="00015047"/>
    <w:rsid w:val="00016544"/>
    <w:rsid w:val="00016744"/>
    <w:rsid w:val="0001677B"/>
    <w:rsid w:val="00016FE2"/>
    <w:rsid w:val="00020C9A"/>
    <w:rsid w:val="00026839"/>
    <w:rsid w:val="00026EDE"/>
    <w:rsid w:val="00027792"/>
    <w:rsid w:val="00027AF8"/>
    <w:rsid w:val="00032080"/>
    <w:rsid w:val="00033AD5"/>
    <w:rsid w:val="00033C99"/>
    <w:rsid w:val="000355F2"/>
    <w:rsid w:val="000358E6"/>
    <w:rsid w:val="00040B92"/>
    <w:rsid w:val="00041436"/>
    <w:rsid w:val="000430D5"/>
    <w:rsid w:val="000442C3"/>
    <w:rsid w:val="00051C80"/>
    <w:rsid w:val="00053E30"/>
    <w:rsid w:val="00054911"/>
    <w:rsid w:val="00055B13"/>
    <w:rsid w:val="00061E06"/>
    <w:rsid w:val="00063734"/>
    <w:rsid w:val="000643E2"/>
    <w:rsid w:val="000667E0"/>
    <w:rsid w:val="00083C0A"/>
    <w:rsid w:val="00084087"/>
    <w:rsid w:val="00086C65"/>
    <w:rsid w:val="000876EB"/>
    <w:rsid w:val="00093A76"/>
    <w:rsid w:val="000A10D1"/>
    <w:rsid w:val="000A1147"/>
    <w:rsid w:val="000A223A"/>
    <w:rsid w:val="000A38BF"/>
    <w:rsid w:val="000A3FE6"/>
    <w:rsid w:val="000A411C"/>
    <w:rsid w:val="000B2123"/>
    <w:rsid w:val="000B3975"/>
    <w:rsid w:val="000B66AA"/>
    <w:rsid w:val="000B7CCE"/>
    <w:rsid w:val="000C29B0"/>
    <w:rsid w:val="000D0332"/>
    <w:rsid w:val="000D18C6"/>
    <w:rsid w:val="000D3BBB"/>
    <w:rsid w:val="000D5EA2"/>
    <w:rsid w:val="000E2BD2"/>
    <w:rsid w:val="000E4196"/>
    <w:rsid w:val="000E5540"/>
    <w:rsid w:val="000E5B10"/>
    <w:rsid w:val="000E7C84"/>
    <w:rsid w:val="000F18EC"/>
    <w:rsid w:val="000F564C"/>
    <w:rsid w:val="001016AB"/>
    <w:rsid w:val="00102CE8"/>
    <w:rsid w:val="001058F8"/>
    <w:rsid w:val="00105F09"/>
    <w:rsid w:val="00105FC1"/>
    <w:rsid w:val="0011625E"/>
    <w:rsid w:val="0012082B"/>
    <w:rsid w:val="00120FB5"/>
    <w:rsid w:val="001278CB"/>
    <w:rsid w:val="001279E8"/>
    <w:rsid w:val="00127BA6"/>
    <w:rsid w:val="0013269B"/>
    <w:rsid w:val="00142438"/>
    <w:rsid w:val="00142EED"/>
    <w:rsid w:val="00146FD3"/>
    <w:rsid w:val="00150B93"/>
    <w:rsid w:val="001523D5"/>
    <w:rsid w:val="00152CCF"/>
    <w:rsid w:val="00162042"/>
    <w:rsid w:val="00162E24"/>
    <w:rsid w:val="00163178"/>
    <w:rsid w:val="001634BD"/>
    <w:rsid w:val="001703B2"/>
    <w:rsid w:val="00171A6F"/>
    <w:rsid w:val="00172AFE"/>
    <w:rsid w:val="001808CC"/>
    <w:rsid w:val="00184E57"/>
    <w:rsid w:val="0018683D"/>
    <w:rsid w:val="00192721"/>
    <w:rsid w:val="001959A1"/>
    <w:rsid w:val="001963A8"/>
    <w:rsid w:val="00197528"/>
    <w:rsid w:val="001A07F8"/>
    <w:rsid w:val="001A5543"/>
    <w:rsid w:val="001A55F0"/>
    <w:rsid w:val="001A6294"/>
    <w:rsid w:val="001B218F"/>
    <w:rsid w:val="001B59F4"/>
    <w:rsid w:val="001B5E23"/>
    <w:rsid w:val="001C034E"/>
    <w:rsid w:val="001C0746"/>
    <w:rsid w:val="001C0EF0"/>
    <w:rsid w:val="001C2021"/>
    <w:rsid w:val="001C58CD"/>
    <w:rsid w:val="001C640A"/>
    <w:rsid w:val="001C682E"/>
    <w:rsid w:val="001D5285"/>
    <w:rsid w:val="001D5D79"/>
    <w:rsid w:val="001D7AE8"/>
    <w:rsid w:val="001E5666"/>
    <w:rsid w:val="001F3D78"/>
    <w:rsid w:val="001F4864"/>
    <w:rsid w:val="00200668"/>
    <w:rsid w:val="00201BC9"/>
    <w:rsid w:val="002070BC"/>
    <w:rsid w:val="00214427"/>
    <w:rsid w:val="002164AA"/>
    <w:rsid w:val="00216D04"/>
    <w:rsid w:val="00216F4B"/>
    <w:rsid w:val="00220FB1"/>
    <w:rsid w:val="00224A98"/>
    <w:rsid w:val="00231CA4"/>
    <w:rsid w:val="00233B85"/>
    <w:rsid w:val="00233C6D"/>
    <w:rsid w:val="002424A2"/>
    <w:rsid w:val="00245ACC"/>
    <w:rsid w:val="002515DE"/>
    <w:rsid w:val="00253E0F"/>
    <w:rsid w:val="0025444F"/>
    <w:rsid w:val="00255AD4"/>
    <w:rsid w:val="002630FB"/>
    <w:rsid w:val="00266412"/>
    <w:rsid w:val="00266964"/>
    <w:rsid w:val="00266B61"/>
    <w:rsid w:val="00270059"/>
    <w:rsid w:val="00272122"/>
    <w:rsid w:val="00272270"/>
    <w:rsid w:val="0027227D"/>
    <w:rsid w:val="00275C6C"/>
    <w:rsid w:val="00276384"/>
    <w:rsid w:val="002773CF"/>
    <w:rsid w:val="0028078F"/>
    <w:rsid w:val="00280FC4"/>
    <w:rsid w:val="00284758"/>
    <w:rsid w:val="00292DCC"/>
    <w:rsid w:val="0029471C"/>
    <w:rsid w:val="00294FFB"/>
    <w:rsid w:val="002A2D6A"/>
    <w:rsid w:val="002B15E4"/>
    <w:rsid w:val="002B17DD"/>
    <w:rsid w:val="002B212B"/>
    <w:rsid w:val="002B2262"/>
    <w:rsid w:val="002B6885"/>
    <w:rsid w:val="002C04C5"/>
    <w:rsid w:val="002C4417"/>
    <w:rsid w:val="002D13E4"/>
    <w:rsid w:val="002D1428"/>
    <w:rsid w:val="002E1694"/>
    <w:rsid w:val="002E16E6"/>
    <w:rsid w:val="002E2E5F"/>
    <w:rsid w:val="002E33AD"/>
    <w:rsid w:val="002E61C4"/>
    <w:rsid w:val="002E7B9B"/>
    <w:rsid w:val="002F1376"/>
    <w:rsid w:val="002F2B25"/>
    <w:rsid w:val="002F467E"/>
    <w:rsid w:val="003016F8"/>
    <w:rsid w:val="00302310"/>
    <w:rsid w:val="003034D4"/>
    <w:rsid w:val="00303BFE"/>
    <w:rsid w:val="0030500C"/>
    <w:rsid w:val="0030656C"/>
    <w:rsid w:val="00307582"/>
    <w:rsid w:val="003107A9"/>
    <w:rsid w:val="003148B3"/>
    <w:rsid w:val="00314E35"/>
    <w:rsid w:val="00321D7F"/>
    <w:rsid w:val="003276BF"/>
    <w:rsid w:val="00330E6E"/>
    <w:rsid w:val="003323B6"/>
    <w:rsid w:val="003330B7"/>
    <w:rsid w:val="003333B7"/>
    <w:rsid w:val="00336460"/>
    <w:rsid w:val="00340F45"/>
    <w:rsid w:val="003422FE"/>
    <w:rsid w:val="0034247B"/>
    <w:rsid w:val="00343E54"/>
    <w:rsid w:val="00356CD2"/>
    <w:rsid w:val="003575E9"/>
    <w:rsid w:val="00357EA3"/>
    <w:rsid w:val="00361E3D"/>
    <w:rsid w:val="00363CCF"/>
    <w:rsid w:val="003713F6"/>
    <w:rsid w:val="0037423D"/>
    <w:rsid w:val="00374AC2"/>
    <w:rsid w:val="00377B0A"/>
    <w:rsid w:val="003814B5"/>
    <w:rsid w:val="00381BC6"/>
    <w:rsid w:val="00386D7E"/>
    <w:rsid w:val="0039347F"/>
    <w:rsid w:val="00393952"/>
    <w:rsid w:val="003A796C"/>
    <w:rsid w:val="003B124F"/>
    <w:rsid w:val="003B63AF"/>
    <w:rsid w:val="003B6801"/>
    <w:rsid w:val="003C0543"/>
    <w:rsid w:val="003C73E9"/>
    <w:rsid w:val="003D1E18"/>
    <w:rsid w:val="003D56D4"/>
    <w:rsid w:val="003E46C7"/>
    <w:rsid w:val="003F0327"/>
    <w:rsid w:val="003F0D93"/>
    <w:rsid w:val="003F1443"/>
    <w:rsid w:val="003F1918"/>
    <w:rsid w:val="003F20F4"/>
    <w:rsid w:val="003F3661"/>
    <w:rsid w:val="003F36A4"/>
    <w:rsid w:val="00404D39"/>
    <w:rsid w:val="00404F0B"/>
    <w:rsid w:val="00405EC7"/>
    <w:rsid w:val="00406C1D"/>
    <w:rsid w:val="0041112E"/>
    <w:rsid w:val="00415253"/>
    <w:rsid w:val="00421BB2"/>
    <w:rsid w:val="00426520"/>
    <w:rsid w:val="0043140C"/>
    <w:rsid w:val="00452A8C"/>
    <w:rsid w:val="004554D9"/>
    <w:rsid w:val="0046156C"/>
    <w:rsid w:val="00464E07"/>
    <w:rsid w:val="00465E83"/>
    <w:rsid w:val="0046733D"/>
    <w:rsid w:val="00467E11"/>
    <w:rsid w:val="004723B9"/>
    <w:rsid w:val="00473B78"/>
    <w:rsid w:val="0048001E"/>
    <w:rsid w:val="00480586"/>
    <w:rsid w:val="00480785"/>
    <w:rsid w:val="00484726"/>
    <w:rsid w:val="00494C6B"/>
    <w:rsid w:val="00495FE8"/>
    <w:rsid w:val="00496A24"/>
    <w:rsid w:val="00496F17"/>
    <w:rsid w:val="00497887"/>
    <w:rsid w:val="004A05F3"/>
    <w:rsid w:val="004A3105"/>
    <w:rsid w:val="004A6986"/>
    <w:rsid w:val="004A6D34"/>
    <w:rsid w:val="004B08AB"/>
    <w:rsid w:val="004B0CC9"/>
    <w:rsid w:val="004B2EBD"/>
    <w:rsid w:val="004B4693"/>
    <w:rsid w:val="004C358F"/>
    <w:rsid w:val="004C59E9"/>
    <w:rsid w:val="004C5B8D"/>
    <w:rsid w:val="004D00CB"/>
    <w:rsid w:val="004D46E1"/>
    <w:rsid w:val="004E096D"/>
    <w:rsid w:val="004E28BC"/>
    <w:rsid w:val="004E2F91"/>
    <w:rsid w:val="004E6B51"/>
    <w:rsid w:val="004E7521"/>
    <w:rsid w:val="004F19A8"/>
    <w:rsid w:val="00500B93"/>
    <w:rsid w:val="005017F4"/>
    <w:rsid w:val="00506F38"/>
    <w:rsid w:val="00507D9C"/>
    <w:rsid w:val="0051121F"/>
    <w:rsid w:val="005132F3"/>
    <w:rsid w:val="005137A0"/>
    <w:rsid w:val="00523E1F"/>
    <w:rsid w:val="0052671D"/>
    <w:rsid w:val="00527735"/>
    <w:rsid w:val="00527B89"/>
    <w:rsid w:val="00530C0B"/>
    <w:rsid w:val="00533DA6"/>
    <w:rsid w:val="00534F40"/>
    <w:rsid w:val="00535954"/>
    <w:rsid w:val="00543EAF"/>
    <w:rsid w:val="00545A77"/>
    <w:rsid w:val="00545F4A"/>
    <w:rsid w:val="005505B4"/>
    <w:rsid w:val="005513DA"/>
    <w:rsid w:val="00556F44"/>
    <w:rsid w:val="0056018A"/>
    <w:rsid w:val="00561070"/>
    <w:rsid w:val="00562C57"/>
    <w:rsid w:val="00580318"/>
    <w:rsid w:val="00580DA1"/>
    <w:rsid w:val="00580E22"/>
    <w:rsid w:val="00581101"/>
    <w:rsid w:val="00581C04"/>
    <w:rsid w:val="00583173"/>
    <w:rsid w:val="0058406B"/>
    <w:rsid w:val="0058480B"/>
    <w:rsid w:val="00586246"/>
    <w:rsid w:val="00592C86"/>
    <w:rsid w:val="00594F14"/>
    <w:rsid w:val="00595C19"/>
    <w:rsid w:val="005970F8"/>
    <w:rsid w:val="005A30FA"/>
    <w:rsid w:val="005A55DB"/>
    <w:rsid w:val="005B2D51"/>
    <w:rsid w:val="005B3AD1"/>
    <w:rsid w:val="005B556F"/>
    <w:rsid w:val="005B55A7"/>
    <w:rsid w:val="005C308C"/>
    <w:rsid w:val="005C4A60"/>
    <w:rsid w:val="005D2237"/>
    <w:rsid w:val="005D250F"/>
    <w:rsid w:val="005D4277"/>
    <w:rsid w:val="005E1DD4"/>
    <w:rsid w:val="005E4339"/>
    <w:rsid w:val="005E4D15"/>
    <w:rsid w:val="005F580F"/>
    <w:rsid w:val="005F5E80"/>
    <w:rsid w:val="0060321B"/>
    <w:rsid w:val="00603F4C"/>
    <w:rsid w:val="006159DF"/>
    <w:rsid w:val="0062028E"/>
    <w:rsid w:val="00624EE9"/>
    <w:rsid w:val="006267B4"/>
    <w:rsid w:val="0063320E"/>
    <w:rsid w:val="006334FE"/>
    <w:rsid w:val="0063446C"/>
    <w:rsid w:val="00640548"/>
    <w:rsid w:val="00643093"/>
    <w:rsid w:val="0064773A"/>
    <w:rsid w:val="0065052D"/>
    <w:rsid w:val="00651293"/>
    <w:rsid w:val="006514B2"/>
    <w:rsid w:val="006518EB"/>
    <w:rsid w:val="00653CBB"/>
    <w:rsid w:val="006552EB"/>
    <w:rsid w:val="006606DA"/>
    <w:rsid w:val="00661197"/>
    <w:rsid w:val="006623BE"/>
    <w:rsid w:val="00665C1A"/>
    <w:rsid w:val="00670200"/>
    <w:rsid w:val="00674C81"/>
    <w:rsid w:val="00683D1D"/>
    <w:rsid w:val="00685E7B"/>
    <w:rsid w:val="0069002B"/>
    <w:rsid w:val="00692F52"/>
    <w:rsid w:val="00693C87"/>
    <w:rsid w:val="006963EB"/>
    <w:rsid w:val="006977FA"/>
    <w:rsid w:val="006A55F9"/>
    <w:rsid w:val="006A6FC5"/>
    <w:rsid w:val="006B0B6A"/>
    <w:rsid w:val="006B2DA5"/>
    <w:rsid w:val="006B68EA"/>
    <w:rsid w:val="006C3B24"/>
    <w:rsid w:val="006C50D7"/>
    <w:rsid w:val="006D0BE4"/>
    <w:rsid w:val="006D7510"/>
    <w:rsid w:val="006D7FB7"/>
    <w:rsid w:val="006E0883"/>
    <w:rsid w:val="006E2EC2"/>
    <w:rsid w:val="006F32F2"/>
    <w:rsid w:val="006F42BD"/>
    <w:rsid w:val="006F62EB"/>
    <w:rsid w:val="007004F5"/>
    <w:rsid w:val="00704715"/>
    <w:rsid w:val="0071737E"/>
    <w:rsid w:val="007258BB"/>
    <w:rsid w:val="00726363"/>
    <w:rsid w:val="007306FC"/>
    <w:rsid w:val="0073258C"/>
    <w:rsid w:val="007343B9"/>
    <w:rsid w:val="0073473E"/>
    <w:rsid w:val="007366AF"/>
    <w:rsid w:val="00737945"/>
    <w:rsid w:val="007402FB"/>
    <w:rsid w:val="00742F3E"/>
    <w:rsid w:val="00743280"/>
    <w:rsid w:val="00745134"/>
    <w:rsid w:val="00745D55"/>
    <w:rsid w:val="007470EB"/>
    <w:rsid w:val="00752B0D"/>
    <w:rsid w:val="0075300A"/>
    <w:rsid w:val="0076237F"/>
    <w:rsid w:val="00763029"/>
    <w:rsid w:val="00765DE7"/>
    <w:rsid w:val="00770C05"/>
    <w:rsid w:val="0077339C"/>
    <w:rsid w:val="00774D80"/>
    <w:rsid w:val="007802C8"/>
    <w:rsid w:val="00781DC6"/>
    <w:rsid w:val="007846DB"/>
    <w:rsid w:val="00784DCF"/>
    <w:rsid w:val="007872E8"/>
    <w:rsid w:val="007A0D13"/>
    <w:rsid w:val="007A4E1F"/>
    <w:rsid w:val="007A6F75"/>
    <w:rsid w:val="007A7174"/>
    <w:rsid w:val="007B2002"/>
    <w:rsid w:val="007B3836"/>
    <w:rsid w:val="007B3C96"/>
    <w:rsid w:val="007B4700"/>
    <w:rsid w:val="007B7DCD"/>
    <w:rsid w:val="007C49CA"/>
    <w:rsid w:val="007D22FF"/>
    <w:rsid w:val="007D3624"/>
    <w:rsid w:val="007D42FE"/>
    <w:rsid w:val="007D54FD"/>
    <w:rsid w:val="007D5E76"/>
    <w:rsid w:val="007D67BD"/>
    <w:rsid w:val="007E0A8F"/>
    <w:rsid w:val="007E1FA1"/>
    <w:rsid w:val="007E4260"/>
    <w:rsid w:val="007E53A0"/>
    <w:rsid w:val="007E5B8E"/>
    <w:rsid w:val="007F08FF"/>
    <w:rsid w:val="007F3471"/>
    <w:rsid w:val="007F4365"/>
    <w:rsid w:val="00804E25"/>
    <w:rsid w:val="00806C21"/>
    <w:rsid w:val="008077A2"/>
    <w:rsid w:val="00807CDD"/>
    <w:rsid w:val="008117DC"/>
    <w:rsid w:val="0081211A"/>
    <w:rsid w:val="00812687"/>
    <w:rsid w:val="00812E59"/>
    <w:rsid w:val="008145B0"/>
    <w:rsid w:val="008170F2"/>
    <w:rsid w:val="00821376"/>
    <w:rsid w:val="00823A5C"/>
    <w:rsid w:val="00824D89"/>
    <w:rsid w:val="00825AA5"/>
    <w:rsid w:val="008330DE"/>
    <w:rsid w:val="00833C65"/>
    <w:rsid w:val="008356A5"/>
    <w:rsid w:val="00835B6E"/>
    <w:rsid w:val="00840E4A"/>
    <w:rsid w:val="0084194B"/>
    <w:rsid w:val="008604AC"/>
    <w:rsid w:val="0086078B"/>
    <w:rsid w:val="00861161"/>
    <w:rsid w:val="00863650"/>
    <w:rsid w:val="0086627F"/>
    <w:rsid w:val="00876BB6"/>
    <w:rsid w:val="00881FF6"/>
    <w:rsid w:val="00883276"/>
    <w:rsid w:val="00885665"/>
    <w:rsid w:val="00887DF2"/>
    <w:rsid w:val="00892359"/>
    <w:rsid w:val="00895843"/>
    <w:rsid w:val="00896CAE"/>
    <w:rsid w:val="00897121"/>
    <w:rsid w:val="008A1133"/>
    <w:rsid w:val="008A19C1"/>
    <w:rsid w:val="008A1FDB"/>
    <w:rsid w:val="008A2015"/>
    <w:rsid w:val="008A2298"/>
    <w:rsid w:val="008A3121"/>
    <w:rsid w:val="008A3890"/>
    <w:rsid w:val="008A3A5D"/>
    <w:rsid w:val="008A4C4C"/>
    <w:rsid w:val="008A5AF4"/>
    <w:rsid w:val="008B13FF"/>
    <w:rsid w:val="008B1A13"/>
    <w:rsid w:val="008B2A20"/>
    <w:rsid w:val="008B2A25"/>
    <w:rsid w:val="008C107A"/>
    <w:rsid w:val="008C5B28"/>
    <w:rsid w:val="008C68E6"/>
    <w:rsid w:val="008D604E"/>
    <w:rsid w:val="008E0BBF"/>
    <w:rsid w:val="008E2628"/>
    <w:rsid w:val="008F008D"/>
    <w:rsid w:val="008F010E"/>
    <w:rsid w:val="008F1C7E"/>
    <w:rsid w:val="008F1D01"/>
    <w:rsid w:val="008F31C6"/>
    <w:rsid w:val="008F5875"/>
    <w:rsid w:val="00902522"/>
    <w:rsid w:val="009114F2"/>
    <w:rsid w:val="00914EB0"/>
    <w:rsid w:val="009153EE"/>
    <w:rsid w:val="00917877"/>
    <w:rsid w:val="00922508"/>
    <w:rsid w:val="00923F60"/>
    <w:rsid w:val="00925248"/>
    <w:rsid w:val="00926F1A"/>
    <w:rsid w:val="00942B7D"/>
    <w:rsid w:val="00946312"/>
    <w:rsid w:val="009503CE"/>
    <w:rsid w:val="00952539"/>
    <w:rsid w:val="009528DD"/>
    <w:rsid w:val="00960797"/>
    <w:rsid w:val="00961F43"/>
    <w:rsid w:val="00962621"/>
    <w:rsid w:val="00966446"/>
    <w:rsid w:val="00972565"/>
    <w:rsid w:val="0097641E"/>
    <w:rsid w:val="00976F80"/>
    <w:rsid w:val="00977E3C"/>
    <w:rsid w:val="00986F2F"/>
    <w:rsid w:val="00991BCF"/>
    <w:rsid w:val="00994157"/>
    <w:rsid w:val="00997A1D"/>
    <w:rsid w:val="00997CEF"/>
    <w:rsid w:val="009A18FB"/>
    <w:rsid w:val="009A20CB"/>
    <w:rsid w:val="009A2817"/>
    <w:rsid w:val="009A5CAC"/>
    <w:rsid w:val="009A6058"/>
    <w:rsid w:val="009A636C"/>
    <w:rsid w:val="009B1179"/>
    <w:rsid w:val="009B12CA"/>
    <w:rsid w:val="009B1389"/>
    <w:rsid w:val="009B1745"/>
    <w:rsid w:val="009B35C0"/>
    <w:rsid w:val="009C0C74"/>
    <w:rsid w:val="009C0E0E"/>
    <w:rsid w:val="009C35B2"/>
    <w:rsid w:val="009C4A5F"/>
    <w:rsid w:val="009C6830"/>
    <w:rsid w:val="009D380F"/>
    <w:rsid w:val="009D3F6B"/>
    <w:rsid w:val="009D6063"/>
    <w:rsid w:val="009E24AC"/>
    <w:rsid w:val="009E649C"/>
    <w:rsid w:val="009F4E2A"/>
    <w:rsid w:val="009F5194"/>
    <w:rsid w:val="009F724E"/>
    <w:rsid w:val="00A00E3A"/>
    <w:rsid w:val="00A03A32"/>
    <w:rsid w:val="00A05170"/>
    <w:rsid w:val="00A063AB"/>
    <w:rsid w:val="00A14A80"/>
    <w:rsid w:val="00A14D01"/>
    <w:rsid w:val="00A16860"/>
    <w:rsid w:val="00A169D3"/>
    <w:rsid w:val="00A17C2A"/>
    <w:rsid w:val="00A27E49"/>
    <w:rsid w:val="00A27F1E"/>
    <w:rsid w:val="00A30E82"/>
    <w:rsid w:val="00A3453B"/>
    <w:rsid w:val="00A358C3"/>
    <w:rsid w:val="00A35B05"/>
    <w:rsid w:val="00A40435"/>
    <w:rsid w:val="00A40B3E"/>
    <w:rsid w:val="00A40F29"/>
    <w:rsid w:val="00A4249C"/>
    <w:rsid w:val="00A425A1"/>
    <w:rsid w:val="00A42FD3"/>
    <w:rsid w:val="00A4540C"/>
    <w:rsid w:val="00A45B3B"/>
    <w:rsid w:val="00A45E62"/>
    <w:rsid w:val="00A50CAC"/>
    <w:rsid w:val="00A54224"/>
    <w:rsid w:val="00A5450E"/>
    <w:rsid w:val="00A54B10"/>
    <w:rsid w:val="00A5578C"/>
    <w:rsid w:val="00A559E7"/>
    <w:rsid w:val="00A567BC"/>
    <w:rsid w:val="00A57B9A"/>
    <w:rsid w:val="00A60A5B"/>
    <w:rsid w:val="00A63149"/>
    <w:rsid w:val="00A63BC2"/>
    <w:rsid w:val="00A63DF0"/>
    <w:rsid w:val="00A6440C"/>
    <w:rsid w:val="00A7259E"/>
    <w:rsid w:val="00A7485E"/>
    <w:rsid w:val="00A754F5"/>
    <w:rsid w:val="00A75E5F"/>
    <w:rsid w:val="00A81A41"/>
    <w:rsid w:val="00A82D51"/>
    <w:rsid w:val="00A8462D"/>
    <w:rsid w:val="00A87748"/>
    <w:rsid w:val="00A9142A"/>
    <w:rsid w:val="00A918C9"/>
    <w:rsid w:val="00A9368D"/>
    <w:rsid w:val="00A93A36"/>
    <w:rsid w:val="00A961F9"/>
    <w:rsid w:val="00AA6566"/>
    <w:rsid w:val="00AB16F4"/>
    <w:rsid w:val="00AB27B9"/>
    <w:rsid w:val="00AB34A2"/>
    <w:rsid w:val="00AB41C7"/>
    <w:rsid w:val="00AC07F4"/>
    <w:rsid w:val="00AC252D"/>
    <w:rsid w:val="00AC4FC5"/>
    <w:rsid w:val="00AC69ED"/>
    <w:rsid w:val="00AD2201"/>
    <w:rsid w:val="00AD4596"/>
    <w:rsid w:val="00AD4851"/>
    <w:rsid w:val="00AD4989"/>
    <w:rsid w:val="00AD651D"/>
    <w:rsid w:val="00AE0069"/>
    <w:rsid w:val="00AE0708"/>
    <w:rsid w:val="00AE2B27"/>
    <w:rsid w:val="00AE5839"/>
    <w:rsid w:val="00AF1FC6"/>
    <w:rsid w:val="00AF2FF7"/>
    <w:rsid w:val="00AF3C7D"/>
    <w:rsid w:val="00AF431D"/>
    <w:rsid w:val="00AF4ACE"/>
    <w:rsid w:val="00AF564F"/>
    <w:rsid w:val="00AF699D"/>
    <w:rsid w:val="00B013DF"/>
    <w:rsid w:val="00B06724"/>
    <w:rsid w:val="00B1235D"/>
    <w:rsid w:val="00B13F6D"/>
    <w:rsid w:val="00B21BAE"/>
    <w:rsid w:val="00B21CC0"/>
    <w:rsid w:val="00B23706"/>
    <w:rsid w:val="00B26B73"/>
    <w:rsid w:val="00B32855"/>
    <w:rsid w:val="00B34452"/>
    <w:rsid w:val="00B34CB6"/>
    <w:rsid w:val="00B41420"/>
    <w:rsid w:val="00B460D5"/>
    <w:rsid w:val="00B50F0C"/>
    <w:rsid w:val="00B513C2"/>
    <w:rsid w:val="00B51AB7"/>
    <w:rsid w:val="00B52689"/>
    <w:rsid w:val="00B53E6A"/>
    <w:rsid w:val="00B53FAC"/>
    <w:rsid w:val="00B54B30"/>
    <w:rsid w:val="00B56A02"/>
    <w:rsid w:val="00B5712D"/>
    <w:rsid w:val="00B651C5"/>
    <w:rsid w:val="00B67F7A"/>
    <w:rsid w:val="00B7184E"/>
    <w:rsid w:val="00B80901"/>
    <w:rsid w:val="00B80BD0"/>
    <w:rsid w:val="00B820E7"/>
    <w:rsid w:val="00B83B7C"/>
    <w:rsid w:val="00B84EFF"/>
    <w:rsid w:val="00B854DB"/>
    <w:rsid w:val="00B917C5"/>
    <w:rsid w:val="00B9191F"/>
    <w:rsid w:val="00B9195D"/>
    <w:rsid w:val="00B954DC"/>
    <w:rsid w:val="00B959A7"/>
    <w:rsid w:val="00B95D81"/>
    <w:rsid w:val="00B97B9B"/>
    <w:rsid w:val="00BA0154"/>
    <w:rsid w:val="00BA42B0"/>
    <w:rsid w:val="00BB6BA2"/>
    <w:rsid w:val="00BC0E5B"/>
    <w:rsid w:val="00BC1792"/>
    <w:rsid w:val="00BC2435"/>
    <w:rsid w:val="00BC2997"/>
    <w:rsid w:val="00BC406F"/>
    <w:rsid w:val="00BC40AD"/>
    <w:rsid w:val="00BC4A5B"/>
    <w:rsid w:val="00BC6B21"/>
    <w:rsid w:val="00BD1A4A"/>
    <w:rsid w:val="00BD1BF6"/>
    <w:rsid w:val="00BD38FF"/>
    <w:rsid w:val="00BD6136"/>
    <w:rsid w:val="00BE09E8"/>
    <w:rsid w:val="00BE0CF8"/>
    <w:rsid w:val="00BE176F"/>
    <w:rsid w:val="00BE1774"/>
    <w:rsid w:val="00BE46AB"/>
    <w:rsid w:val="00BE491B"/>
    <w:rsid w:val="00BE5DCB"/>
    <w:rsid w:val="00BE5FEF"/>
    <w:rsid w:val="00BE7B84"/>
    <w:rsid w:val="00BE7C64"/>
    <w:rsid w:val="00BF1236"/>
    <w:rsid w:val="00BF6938"/>
    <w:rsid w:val="00C012E3"/>
    <w:rsid w:val="00C02ADC"/>
    <w:rsid w:val="00C071D6"/>
    <w:rsid w:val="00C11188"/>
    <w:rsid w:val="00C12426"/>
    <w:rsid w:val="00C136D0"/>
    <w:rsid w:val="00C161F7"/>
    <w:rsid w:val="00C1714C"/>
    <w:rsid w:val="00C30007"/>
    <w:rsid w:val="00C313E0"/>
    <w:rsid w:val="00C330C0"/>
    <w:rsid w:val="00C34372"/>
    <w:rsid w:val="00C35764"/>
    <w:rsid w:val="00C36866"/>
    <w:rsid w:val="00C374F6"/>
    <w:rsid w:val="00C41871"/>
    <w:rsid w:val="00C429C2"/>
    <w:rsid w:val="00C4437B"/>
    <w:rsid w:val="00C52991"/>
    <w:rsid w:val="00C553E1"/>
    <w:rsid w:val="00C66752"/>
    <w:rsid w:val="00C66A95"/>
    <w:rsid w:val="00C71CF1"/>
    <w:rsid w:val="00C75494"/>
    <w:rsid w:val="00C806D0"/>
    <w:rsid w:val="00C82453"/>
    <w:rsid w:val="00C83F23"/>
    <w:rsid w:val="00C91802"/>
    <w:rsid w:val="00C92DCE"/>
    <w:rsid w:val="00C9312B"/>
    <w:rsid w:val="00C933A7"/>
    <w:rsid w:val="00C93A32"/>
    <w:rsid w:val="00C9571D"/>
    <w:rsid w:val="00C95CA6"/>
    <w:rsid w:val="00C97319"/>
    <w:rsid w:val="00CA6FD0"/>
    <w:rsid w:val="00CA71B8"/>
    <w:rsid w:val="00CB04BC"/>
    <w:rsid w:val="00CB3975"/>
    <w:rsid w:val="00CB4415"/>
    <w:rsid w:val="00CB6628"/>
    <w:rsid w:val="00CC38F6"/>
    <w:rsid w:val="00CC69D2"/>
    <w:rsid w:val="00CD1309"/>
    <w:rsid w:val="00CD388A"/>
    <w:rsid w:val="00CD728E"/>
    <w:rsid w:val="00CE03F6"/>
    <w:rsid w:val="00CE16B6"/>
    <w:rsid w:val="00CE18F7"/>
    <w:rsid w:val="00CE23DA"/>
    <w:rsid w:val="00CE2447"/>
    <w:rsid w:val="00CE42A2"/>
    <w:rsid w:val="00CE5F1E"/>
    <w:rsid w:val="00CE615F"/>
    <w:rsid w:val="00CE735F"/>
    <w:rsid w:val="00CF20F8"/>
    <w:rsid w:val="00CF3C3A"/>
    <w:rsid w:val="00D0036F"/>
    <w:rsid w:val="00D01959"/>
    <w:rsid w:val="00D05A79"/>
    <w:rsid w:val="00D10935"/>
    <w:rsid w:val="00D11794"/>
    <w:rsid w:val="00D1537E"/>
    <w:rsid w:val="00D200C7"/>
    <w:rsid w:val="00D215AE"/>
    <w:rsid w:val="00D2303A"/>
    <w:rsid w:val="00D25038"/>
    <w:rsid w:val="00D2562B"/>
    <w:rsid w:val="00D26C4A"/>
    <w:rsid w:val="00D336C9"/>
    <w:rsid w:val="00D371A8"/>
    <w:rsid w:val="00D40B15"/>
    <w:rsid w:val="00D40BFD"/>
    <w:rsid w:val="00D41A86"/>
    <w:rsid w:val="00D42637"/>
    <w:rsid w:val="00D4491B"/>
    <w:rsid w:val="00D5140E"/>
    <w:rsid w:val="00D54CFB"/>
    <w:rsid w:val="00D54DD3"/>
    <w:rsid w:val="00D57B6E"/>
    <w:rsid w:val="00D60C9C"/>
    <w:rsid w:val="00D620E5"/>
    <w:rsid w:val="00D63C37"/>
    <w:rsid w:val="00D721D1"/>
    <w:rsid w:val="00D7426D"/>
    <w:rsid w:val="00D75D29"/>
    <w:rsid w:val="00D77B3F"/>
    <w:rsid w:val="00D905A6"/>
    <w:rsid w:val="00D91695"/>
    <w:rsid w:val="00D91D5E"/>
    <w:rsid w:val="00D9447F"/>
    <w:rsid w:val="00D95C05"/>
    <w:rsid w:val="00DA05AE"/>
    <w:rsid w:val="00DA22DD"/>
    <w:rsid w:val="00DA4750"/>
    <w:rsid w:val="00DA4F64"/>
    <w:rsid w:val="00DA53C8"/>
    <w:rsid w:val="00DA73DF"/>
    <w:rsid w:val="00DB22BF"/>
    <w:rsid w:val="00DB4EFC"/>
    <w:rsid w:val="00DB551C"/>
    <w:rsid w:val="00DB7E61"/>
    <w:rsid w:val="00DC0FCA"/>
    <w:rsid w:val="00DC13F0"/>
    <w:rsid w:val="00DC50EC"/>
    <w:rsid w:val="00DD1FF3"/>
    <w:rsid w:val="00DD26D9"/>
    <w:rsid w:val="00DD3127"/>
    <w:rsid w:val="00DD4D27"/>
    <w:rsid w:val="00DE2540"/>
    <w:rsid w:val="00DE5226"/>
    <w:rsid w:val="00DE5A52"/>
    <w:rsid w:val="00DE5F33"/>
    <w:rsid w:val="00DE63D6"/>
    <w:rsid w:val="00DE7DFB"/>
    <w:rsid w:val="00DF00AB"/>
    <w:rsid w:val="00DF21EF"/>
    <w:rsid w:val="00DF7EF1"/>
    <w:rsid w:val="00E020B1"/>
    <w:rsid w:val="00E04BBA"/>
    <w:rsid w:val="00E06F62"/>
    <w:rsid w:val="00E10271"/>
    <w:rsid w:val="00E144E5"/>
    <w:rsid w:val="00E14646"/>
    <w:rsid w:val="00E26570"/>
    <w:rsid w:val="00E31D1D"/>
    <w:rsid w:val="00E3273F"/>
    <w:rsid w:val="00E33CEC"/>
    <w:rsid w:val="00E355E0"/>
    <w:rsid w:val="00E36901"/>
    <w:rsid w:val="00E36D18"/>
    <w:rsid w:val="00E374A4"/>
    <w:rsid w:val="00E40478"/>
    <w:rsid w:val="00E500FB"/>
    <w:rsid w:val="00E5040E"/>
    <w:rsid w:val="00E530D9"/>
    <w:rsid w:val="00E53150"/>
    <w:rsid w:val="00E55A5F"/>
    <w:rsid w:val="00E6141A"/>
    <w:rsid w:val="00E628E3"/>
    <w:rsid w:val="00E65A3B"/>
    <w:rsid w:val="00E66CA1"/>
    <w:rsid w:val="00E84518"/>
    <w:rsid w:val="00E912DA"/>
    <w:rsid w:val="00E91939"/>
    <w:rsid w:val="00E93927"/>
    <w:rsid w:val="00E96826"/>
    <w:rsid w:val="00E977F2"/>
    <w:rsid w:val="00EA425E"/>
    <w:rsid w:val="00EA4A78"/>
    <w:rsid w:val="00EC07FB"/>
    <w:rsid w:val="00EC0B4C"/>
    <w:rsid w:val="00EC52A1"/>
    <w:rsid w:val="00EC5856"/>
    <w:rsid w:val="00ED0A0A"/>
    <w:rsid w:val="00ED0BDB"/>
    <w:rsid w:val="00ED236C"/>
    <w:rsid w:val="00ED2BEE"/>
    <w:rsid w:val="00EE0826"/>
    <w:rsid w:val="00EE14AD"/>
    <w:rsid w:val="00EE446C"/>
    <w:rsid w:val="00EE4E0F"/>
    <w:rsid w:val="00EF4AD4"/>
    <w:rsid w:val="00EF5A74"/>
    <w:rsid w:val="00F057F6"/>
    <w:rsid w:val="00F075F9"/>
    <w:rsid w:val="00F15CB0"/>
    <w:rsid w:val="00F2455E"/>
    <w:rsid w:val="00F25005"/>
    <w:rsid w:val="00F260D3"/>
    <w:rsid w:val="00F26FAE"/>
    <w:rsid w:val="00F312B5"/>
    <w:rsid w:val="00F31B29"/>
    <w:rsid w:val="00F3289E"/>
    <w:rsid w:val="00F3430E"/>
    <w:rsid w:val="00F354C0"/>
    <w:rsid w:val="00F42A2C"/>
    <w:rsid w:val="00F43269"/>
    <w:rsid w:val="00F442C6"/>
    <w:rsid w:val="00F56A61"/>
    <w:rsid w:val="00F57609"/>
    <w:rsid w:val="00F60380"/>
    <w:rsid w:val="00F6077A"/>
    <w:rsid w:val="00F63CAC"/>
    <w:rsid w:val="00F70CB4"/>
    <w:rsid w:val="00F70F4E"/>
    <w:rsid w:val="00F73E46"/>
    <w:rsid w:val="00F73EF4"/>
    <w:rsid w:val="00F75D9E"/>
    <w:rsid w:val="00F76ED3"/>
    <w:rsid w:val="00F80404"/>
    <w:rsid w:val="00F81607"/>
    <w:rsid w:val="00F85683"/>
    <w:rsid w:val="00F9016D"/>
    <w:rsid w:val="00F91956"/>
    <w:rsid w:val="00F92B82"/>
    <w:rsid w:val="00F9457B"/>
    <w:rsid w:val="00FA064A"/>
    <w:rsid w:val="00FA2178"/>
    <w:rsid w:val="00FA3E7D"/>
    <w:rsid w:val="00FA7FE3"/>
    <w:rsid w:val="00FB5EC5"/>
    <w:rsid w:val="00FC1243"/>
    <w:rsid w:val="00FC2185"/>
    <w:rsid w:val="00FC4379"/>
    <w:rsid w:val="00FC5095"/>
    <w:rsid w:val="00FC5104"/>
    <w:rsid w:val="00FC69ED"/>
    <w:rsid w:val="00FD1A70"/>
    <w:rsid w:val="00FD2888"/>
    <w:rsid w:val="00FD40F2"/>
    <w:rsid w:val="00FD5C22"/>
    <w:rsid w:val="00FE073E"/>
    <w:rsid w:val="00FE0F29"/>
    <w:rsid w:val="00FE2BDD"/>
    <w:rsid w:val="00FE66B7"/>
    <w:rsid w:val="00FE6E9A"/>
    <w:rsid w:val="00FF531F"/>
    <w:rsid w:val="00FF6B6D"/>
    <w:rsid w:val="00FF6B8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ascii="ITCLegacySansLTBookRegular" w:eastAsia="新細明體" w:hAnsi="ITCLegacySansLTBookRegular"/>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Pr>
      <w:rFonts w:ascii="Cambria" w:hAnsi="Cambria" w:cs="Times New Roman"/>
      <w:b/>
      <w:bCs/>
      <w:sz w:val="26"/>
      <w:szCs w:val="26"/>
      <w:lang w:val="fr-FR" w:eastAsia="fr-FR" w:bidi="fr-FR"/>
    </w:rPr>
  </w:style>
  <w:style w:type="paragraph" w:styleId="BalloonText">
    <w:name w:val="Balloon Text"/>
    <w:basedOn w:val="Normal"/>
    <w:link w:val="BalloonTextChar"/>
    <w:uiPriority w:val="99"/>
    <w:semiHidden/>
    <w:rsid w:val="002A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eastAsia="MS Mincho" w:cs="Times New Roman"/>
      <w:sz w:val="2"/>
      <w:lang w:val="fr-FR" w:eastAsia="fr-FR" w:bidi="fr-FR"/>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yperlink">
    <w:name w:val="Hyperlink"/>
    <w:basedOn w:val="DefaultParagraphFont"/>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PageNumber">
    <w:name w:val="page number"/>
    <w:basedOn w:val="Policepardfaut1"/>
    <w:uiPriority w:val="99"/>
    <w:rsid w:val="002A2D6A"/>
    <w:rPr>
      <w:rFonts w:cs="Times New Roman"/>
    </w:rPr>
  </w:style>
  <w:style w:type="paragraph" w:customStyle="1" w:styleId="Titre1">
    <w:name w:val="Titre1"/>
    <w:basedOn w:val="Normal"/>
    <w:next w:val="BodyText"/>
    <w:uiPriority w:val="99"/>
    <w:rsid w:val="002A2D6A"/>
    <w:pPr>
      <w:keepNext/>
      <w:spacing w:before="240" w:after="120"/>
    </w:pPr>
    <w:rPr>
      <w:rFonts w:ascii="Arial" w:eastAsia="新細明體" w:hAnsi="Arial" w:cs="Tahoma"/>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Pr>
      <w:rFonts w:ascii="Cambria" w:eastAsia="MS Mincho" w:hAnsi="Cambria" w:cs="Cambria"/>
      <w:sz w:val="24"/>
      <w:szCs w:val="24"/>
      <w:lang w:val="fr-FR" w:eastAsia="fr-FR" w:bidi="fr-FR"/>
    </w:rPr>
  </w:style>
  <w:style w:type="paragraph" w:styleId="List">
    <w:name w:val="List"/>
    <w:basedOn w:val="BodyText"/>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Pr>
      <w:rFonts w:ascii="Cambria" w:eastAsia="MS Mincho" w:hAnsi="Cambria" w:cs="Cambria"/>
      <w:sz w:val="24"/>
      <w:szCs w:val="24"/>
      <w:lang w:val="fr-FR" w:eastAsia="fr-FR" w:bidi="fr-FR"/>
    </w:rPr>
  </w:style>
  <w:style w:type="paragraph" w:styleId="Footer">
    <w:name w:val="footer"/>
    <w:basedOn w:val="Normal"/>
    <w:link w:val="FooterChar"/>
    <w:uiPriority w:val="99"/>
    <w:rsid w:val="002A2D6A"/>
    <w:rPr>
      <w:rFonts w:cs="Times New Roman"/>
    </w:rPr>
  </w:style>
  <w:style w:type="character" w:customStyle="1" w:styleId="FooterChar">
    <w:name w:val="Footer Char"/>
    <w:basedOn w:val="DefaultParagraphFont"/>
    <w:link w:val="Footer"/>
    <w:uiPriority w:val="99"/>
    <w:rsid w:val="00CF3C3A"/>
    <w:rPr>
      <w:rFonts w:ascii="Cambria" w:eastAsia="MS Mincho" w:hAnsi="Cambria" w:cs="Times New Roman"/>
      <w:sz w:val="24"/>
      <w:lang w:eastAsia="fr-FR" w:bidi="fr-FR"/>
    </w:rPr>
  </w:style>
  <w:style w:type="paragraph" w:customStyle="1" w:styleId="textecontact">
    <w:name w:val="textecontact"/>
    <w:basedOn w:val="Normal"/>
    <w:uiPriority w:val="99"/>
    <w:rsid w:val="002A2D6A"/>
    <w:pPr>
      <w:spacing w:before="280" w:after="280"/>
    </w:pPr>
    <w:rPr>
      <w:rFonts w:ascii="Times New Roman" w:eastAsia="新細明體"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新細明體" w:hAnsi="Arial"/>
      <w:sz w:val="18"/>
      <w:szCs w:val="20"/>
    </w:rPr>
  </w:style>
  <w:style w:type="paragraph" w:customStyle="1" w:styleId="Titrecontact">
    <w:name w:val="Titre contact"/>
    <w:basedOn w:val="Textecontact0"/>
    <w:uiPriority w:val="99"/>
    <w:rsid w:val="002A2D6A"/>
    <w:pPr>
      <w:spacing w:before="0" w:after="0"/>
      <w:ind w:left="0" w:right="0"/>
    </w:pPr>
    <w:rPr>
      <w:b/>
      <w:color w:val="000000"/>
    </w:rPr>
  </w:style>
  <w:style w:type="paragraph" w:styleId="FootnoteText">
    <w:name w:val="footnote text"/>
    <w:basedOn w:val="Normal"/>
    <w:link w:val="FootnoteTextChar"/>
    <w:uiPriority w:val="99"/>
    <w:rsid w:val="002A2D6A"/>
    <w:rPr>
      <w:sz w:val="20"/>
      <w:szCs w:val="20"/>
    </w:rPr>
  </w:style>
  <w:style w:type="character" w:customStyle="1" w:styleId="FootnoteTextChar">
    <w:name w:val="Footnote Text Char"/>
    <w:basedOn w:val="DefaultParagraphFont"/>
    <w:link w:val="FootnoteText"/>
    <w:uiPriority w:val="99"/>
    <w:rsid w:val="00FE6E9A"/>
    <w:rPr>
      <w:rFonts w:ascii="Cambria" w:eastAsia="MS Mincho" w:hAnsi="Cambria" w:cs="Cambria"/>
      <w:lang w:val="fr-FR" w:eastAsia="fr-FR" w:bidi="fr-FR"/>
    </w:rPr>
  </w:style>
  <w:style w:type="paragraph" w:customStyle="1" w:styleId="Textedesaisie">
    <w:name w:val="Texte de saisie"/>
    <w:basedOn w:val="Normal"/>
    <w:uiPriority w:val="99"/>
    <w:rsid w:val="002A2D6A"/>
    <w:pPr>
      <w:spacing w:line="260" w:lineRule="atLeast"/>
      <w:jc w:val="both"/>
    </w:pPr>
    <w:rPr>
      <w:rFonts w:ascii="Arial" w:eastAsia="新細明體"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uiPriority w:val="9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F1C7E"/>
    <w:rPr>
      <w:rFonts w:cs="Times New Roman"/>
      <w:b/>
    </w:rPr>
  </w:style>
  <w:style w:type="character" w:styleId="FootnoteReference">
    <w:name w:val="footnote reference"/>
    <w:basedOn w:val="DefaultParagraphFont"/>
    <w:uiPriority w:val="99"/>
    <w:semiHidden/>
    <w:rsid w:val="008F1C7E"/>
    <w:rPr>
      <w:rFonts w:cs="Times New Roman"/>
      <w:vertAlign w:val="superscript"/>
    </w:rPr>
  </w:style>
  <w:style w:type="character" w:styleId="Emphasis">
    <w:name w:val="Emphasis"/>
    <w:basedOn w:val="DefaultParagraphFont"/>
    <w:uiPriority w:val="20"/>
    <w:qFormat/>
    <w:rsid w:val="008F1C7E"/>
    <w:rPr>
      <w:rFonts w:cs="Times New Roman"/>
      <w:i/>
    </w:rPr>
  </w:style>
  <w:style w:type="paragraph" w:styleId="ListParagraph">
    <w:name w:val="List Paragraph"/>
    <w:basedOn w:val="Normal"/>
    <w:uiPriority w:val="34"/>
    <w:qFormat/>
    <w:rsid w:val="00685E7B"/>
    <w:pPr>
      <w:widowControl/>
      <w:ind w:left="720"/>
    </w:pPr>
    <w:rPr>
      <w:rFonts w:ascii="Calibri" w:eastAsia="新細明體" w:hAnsi="Calibri" w:cs="Calibri"/>
      <w:sz w:val="22"/>
      <w:szCs w:val="22"/>
    </w:rPr>
  </w:style>
  <w:style w:type="paragraph" w:customStyle="1" w:styleId="Default">
    <w:name w:val="Default"/>
    <w:rsid w:val="00DB22BF"/>
    <w:pPr>
      <w:widowControl w:val="0"/>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99"/>
    <w:rsid w:val="00FE6E9A"/>
    <w:rPr>
      <w:rFonts w:ascii="Calibri" w:hAnsi="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fr-FR" w:eastAsia="fr-FR" w:bidi="fr-FR"/>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fr-FR" w:eastAsia="fr-FR" w:bidi="fr-FR"/>
    </w:rPr>
  </w:style>
  <w:style w:type="paragraph" w:styleId="NormalWeb">
    <w:name w:val="Normal (Web)"/>
    <w:basedOn w:val="Normal"/>
    <w:uiPriority w:val="99"/>
    <w:semiHidden/>
    <w:unhideWhenUsed/>
    <w:rsid w:val="00016FE2"/>
    <w:rPr>
      <w:rFonts w:ascii="Times New Roman" w:hAnsi="Times New Roman" w:cs="Times New Roman"/>
    </w:rPr>
  </w:style>
  <w:style w:type="table" w:customStyle="1" w:styleId="TableGrid1">
    <w:name w:val="Table Grid1"/>
    <w:basedOn w:val="TableNormal"/>
    <w:next w:val="TableGrid"/>
    <w:uiPriority w:val="59"/>
    <w:rsid w:val="0001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rans">
    <w:name w:val="tag_trans"/>
    <w:basedOn w:val="DefaultParagraphFont"/>
    <w:rsid w:val="00B80BD0"/>
  </w:style>
  <w:style w:type="paragraph" w:styleId="Revision">
    <w:name w:val="Revision"/>
    <w:hidden/>
    <w:uiPriority w:val="99"/>
    <w:semiHidden/>
    <w:rsid w:val="00AF699D"/>
    <w:rPr>
      <w:rFonts w:ascii="Cambria" w:eastAsia="MS Mincho" w:hAnsi="Cambria" w:cs="Cambria"/>
      <w:sz w:val="24"/>
      <w:szCs w:val="24"/>
    </w:rPr>
  </w:style>
  <w:style w:type="paragraph" w:styleId="Bibliography">
    <w:name w:val="Bibliography"/>
    <w:basedOn w:val="Normal"/>
    <w:next w:val="Normal"/>
    <w:uiPriority w:val="37"/>
    <w:unhideWhenUsed/>
    <w:rsid w:val="00AF2FF7"/>
    <w:pPr>
      <w:widowControl/>
      <w:spacing w:after="200" w:line="276" w:lineRule="auto"/>
    </w:pPr>
    <w:rPr>
      <w:rFonts w:asciiTheme="minorHAnsi" w:eastAsiaTheme="minorHAnsi" w:hAnsiTheme="minorHAnsi" w:cstheme="minorBidi"/>
      <w:sz w:val="22"/>
      <w:szCs w:val="22"/>
    </w:rPr>
  </w:style>
  <w:style w:type="character" w:customStyle="1" w:styleId="st">
    <w:name w:val="st"/>
    <w:basedOn w:val="DefaultParagraphFont"/>
    <w:rsid w:val="00835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ascii="ITCLegacySansLTBookRegular" w:eastAsia="新細明體" w:hAnsi="ITCLegacySansLTBookRegular"/>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Pr>
      <w:rFonts w:ascii="Cambria" w:hAnsi="Cambria" w:cs="Times New Roman"/>
      <w:b/>
      <w:bCs/>
      <w:sz w:val="26"/>
      <w:szCs w:val="26"/>
      <w:lang w:val="fr-FR" w:eastAsia="fr-FR" w:bidi="fr-FR"/>
    </w:rPr>
  </w:style>
  <w:style w:type="paragraph" w:styleId="BalloonText">
    <w:name w:val="Balloon Text"/>
    <w:basedOn w:val="Normal"/>
    <w:link w:val="BalloonTextChar"/>
    <w:uiPriority w:val="99"/>
    <w:semiHidden/>
    <w:rsid w:val="002A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eastAsia="MS Mincho" w:cs="Times New Roman"/>
      <w:sz w:val="2"/>
      <w:lang w:val="fr-FR" w:eastAsia="fr-FR" w:bidi="fr-FR"/>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yperlink">
    <w:name w:val="Hyperlink"/>
    <w:basedOn w:val="DefaultParagraphFont"/>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PageNumber">
    <w:name w:val="page number"/>
    <w:basedOn w:val="Policepardfaut1"/>
    <w:uiPriority w:val="99"/>
    <w:rsid w:val="002A2D6A"/>
    <w:rPr>
      <w:rFonts w:cs="Times New Roman"/>
    </w:rPr>
  </w:style>
  <w:style w:type="paragraph" w:customStyle="1" w:styleId="Titre1">
    <w:name w:val="Titre1"/>
    <w:basedOn w:val="Normal"/>
    <w:next w:val="BodyText"/>
    <w:uiPriority w:val="99"/>
    <w:rsid w:val="002A2D6A"/>
    <w:pPr>
      <w:keepNext/>
      <w:spacing w:before="240" w:after="120"/>
    </w:pPr>
    <w:rPr>
      <w:rFonts w:ascii="Arial" w:eastAsia="新細明體" w:hAnsi="Arial" w:cs="Tahoma"/>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Pr>
      <w:rFonts w:ascii="Cambria" w:eastAsia="MS Mincho" w:hAnsi="Cambria" w:cs="Cambria"/>
      <w:sz w:val="24"/>
      <w:szCs w:val="24"/>
      <w:lang w:val="fr-FR" w:eastAsia="fr-FR" w:bidi="fr-FR"/>
    </w:rPr>
  </w:style>
  <w:style w:type="paragraph" w:styleId="List">
    <w:name w:val="List"/>
    <w:basedOn w:val="BodyText"/>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Pr>
      <w:rFonts w:ascii="Cambria" w:eastAsia="MS Mincho" w:hAnsi="Cambria" w:cs="Cambria"/>
      <w:sz w:val="24"/>
      <w:szCs w:val="24"/>
      <w:lang w:val="fr-FR" w:eastAsia="fr-FR" w:bidi="fr-FR"/>
    </w:rPr>
  </w:style>
  <w:style w:type="paragraph" w:styleId="Footer">
    <w:name w:val="footer"/>
    <w:basedOn w:val="Normal"/>
    <w:link w:val="FooterChar"/>
    <w:uiPriority w:val="99"/>
    <w:rsid w:val="002A2D6A"/>
    <w:rPr>
      <w:rFonts w:cs="Times New Roman"/>
    </w:rPr>
  </w:style>
  <w:style w:type="character" w:customStyle="1" w:styleId="FooterChar">
    <w:name w:val="Footer Char"/>
    <w:basedOn w:val="DefaultParagraphFont"/>
    <w:link w:val="Footer"/>
    <w:uiPriority w:val="99"/>
    <w:rsid w:val="00CF3C3A"/>
    <w:rPr>
      <w:rFonts w:ascii="Cambria" w:eastAsia="MS Mincho" w:hAnsi="Cambria" w:cs="Times New Roman"/>
      <w:sz w:val="24"/>
      <w:lang w:eastAsia="fr-FR" w:bidi="fr-FR"/>
    </w:rPr>
  </w:style>
  <w:style w:type="paragraph" w:customStyle="1" w:styleId="textecontact">
    <w:name w:val="textecontact"/>
    <w:basedOn w:val="Normal"/>
    <w:uiPriority w:val="99"/>
    <w:rsid w:val="002A2D6A"/>
    <w:pPr>
      <w:spacing w:before="280" w:after="280"/>
    </w:pPr>
    <w:rPr>
      <w:rFonts w:ascii="Times New Roman" w:eastAsia="新細明體"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新細明體" w:hAnsi="Arial"/>
      <w:sz w:val="18"/>
      <w:szCs w:val="20"/>
    </w:rPr>
  </w:style>
  <w:style w:type="paragraph" w:customStyle="1" w:styleId="Titrecontact">
    <w:name w:val="Titre contact"/>
    <w:basedOn w:val="Textecontact0"/>
    <w:uiPriority w:val="99"/>
    <w:rsid w:val="002A2D6A"/>
    <w:pPr>
      <w:spacing w:before="0" w:after="0"/>
      <w:ind w:left="0" w:right="0"/>
    </w:pPr>
    <w:rPr>
      <w:b/>
      <w:color w:val="000000"/>
    </w:rPr>
  </w:style>
  <w:style w:type="paragraph" w:styleId="FootnoteText">
    <w:name w:val="footnote text"/>
    <w:basedOn w:val="Normal"/>
    <w:link w:val="FootnoteTextChar"/>
    <w:uiPriority w:val="99"/>
    <w:rsid w:val="002A2D6A"/>
    <w:rPr>
      <w:sz w:val="20"/>
      <w:szCs w:val="20"/>
    </w:rPr>
  </w:style>
  <w:style w:type="character" w:customStyle="1" w:styleId="FootnoteTextChar">
    <w:name w:val="Footnote Text Char"/>
    <w:basedOn w:val="DefaultParagraphFont"/>
    <w:link w:val="FootnoteText"/>
    <w:uiPriority w:val="99"/>
    <w:rsid w:val="00FE6E9A"/>
    <w:rPr>
      <w:rFonts w:ascii="Cambria" w:eastAsia="MS Mincho" w:hAnsi="Cambria" w:cs="Cambria"/>
      <w:lang w:val="fr-FR" w:eastAsia="fr-FR" w:bidi="fr-FR"/>
    </w:rPr>
  </w:style>
  <w:style w:type="paragraph" w:customStyle="1" w:styleId="Textedesaisie">
    <w:name w:val="Texte de saisie"/>
    <w:basedOn w:val="Normal"/>
    <w:uiPriority w:val="99"/>
    <w:rsid w:val="002A2D6A"/>
    <w:pPr>
      <w:spacing w:line="260" w:lineRule="atLeast"/>
      <w:jc w:val="both"/>
    </w:pPr>
    <w:rPr>
      <w:rFonts w:ascii="Arial" w:eastAsia="新細明體"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uiPriority w:val="9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F1C7E"/>
    <w:rPr>
      <w:rFonts w:cs="Times New Roman"/>
      <w:b/>
    </w:rPr>
  </w:style>
  <w:style w:type="character" w:styleId="FootnoteReference">
    <w:name w:val="footnote reference"/>
    <w:basedOn w:val="DefaultParagraphFont"/>
    <w:uiPriority w:val="99"/>
    <w:semiHidden/>
    <w:rsid w:val="008F1C7E"/>
    <w:rPr>
      <w:rFonts w:cs="Times New Roman"/>
      <w:vertAlign w:val="superscript"/>
    </w:rPr>
  </w:style>
  <w:style w:type="character" w:styleId="Emphasis">
    <w:name w:val="Emphasis"/>
    <w:basedOn w:val="DefaultParagraphFont"/>
    <w:uiPriority w:val="20"/>
    <w:qFormat/>
    <w:rsid w:val="008F1C7E"/>
    <w:rPr>
      <w:rFonts w:cs="Times New Roman"/>
      <w:i/>
    </w:rPr>
  </w:style>
  <w:style w:type="paragraph" w:styleId="ListParagraph">
    <w:name w:val="List Paragraph"/>
    <w:basedOn w:val="Normal"/>
    <w:uiPriority w:val="34"/>
    <w:qFormat/>
    <w:rsid w:val="00685E7B"/>
    <w:pPr>
      <w:widowControl/>
      <w:ind w:left="720"/>
    </w:pPr>
    <w:rPr>
      <w:rFonts w:ascii="Calibri" w:eastAsia="新細明體" w:hAnsi="Calibri" w:cs="Calibri"/>
      <w:sz w:val="22"/>
      <w:szCs w:val="22"/>
    </w:rPr>
  </w:style>
  <w:style w:type="paragraph" w:customStyle="1" w:styleId="Default">
    <w:name w:val="Default"/>
    <w:rsid w:val="00DB22BF"/>
    <w:pPr>
      <w:widowControl w:val="0"/>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99"/>
    <w:rsid w:val="00FE6E9A"/>
    <w:rPr>
      <w:rFonts w:ascii="Calibri" w:hAnsi="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fr-FR" w:eastAsia="fr-FR" w:bidi="fr-FR"/>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fr-FR" w:eastAsia="fr-FR" w:bidi="fr-FR"/>
    </w:rPr>
  </w:style>
  <w:style w:type="paragraph" w:styleId="NormalWeb">
    <w:name w:val="Normal (Web)"/>
    <w:basedOn w:val="Normal"/>
    <w:uiPriority w:val="99"/>
    <w:semiHidden/>
    <w:unhideWhenUsed/>
    <w:rsid w:val="00016FE2"/>
    <w:rPr>
      <w:rFonts w:ascii="Times New Roman" w:hAnsi="Times New Roman" w:cs="Times New Roman"/>
    </w:rPr>
  </w:style>
  <w:style w:type="table" w:customStyle="1" w:styleId="TableGrid1">
    <w:name w:val="Table Grid1"/>
    <w:basedOn w:val="TableNormal"/>
    <w:next w:val="TableGrid"/>
    <w:uiPriority w:val="59"/>
    <w:rsid w:val="0001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rans">
    <w:name w:val="tag_trans"/>
    <w:basedOn w:val="DefaultParagraphFont"/>
    <w:rsid w:val="00B80BD0"/>
  </w:style>
  <w:style w:type="paragraph" w:styleId="Revision">
    <w:name w:val="Revision"/>
    <w:hidden/>
    <w:uiPriority w:val="99"/>
    <w:semiHidden/>
    <w:rsid w:val="00AF699D"/>
    <w:rPr>
      <w:rFonts w:ascii="Cambria" w:eastAsia="MS Mincho" w:hAnsi="Cambria" w:cs="Cambria"/>
      <w:sz w:val="24"/>
      <w:szCs w:val="24"/>
    </w:rPr>
  </w:style>
  <w:style w:type="paragraph" w:styleId="Bibliography">
    <w:name w:val="Bibliography"/>
    <w:basedOn w:val="Normal"/>
    <w:next w:val="Normal"/>
    <w:uiPriority w:val="37"/>
    <w:unhideWhenUsed/>
    <w:rsid w:val="00AF2FF7"/>
    <w:pPr>
      <w:widowControl/>
      <w:spacing w:after="200" w:line="276" w:lineRule="auto"/>
    </w:pPr>
    <w:rPr>
      <w:rFonts w:asciiTheme="minorHAnsi" w:eastAsiaTheme="minorHAnsi" w:hAnsiTheme="minorHAnsi" w:cstheme="minorBidi"/>
      <w:sz w:val="22"/>
      <w:szCs w:val="22"/>
    </w:rPr>
  </w:style>
  <w:style w:type="character" w:customStyle="1" w:styleId="st">
    <w:name w:val="st"/>
    <w:basedOn w:val="DefaultParagraphFont"/>
    <w:rsid w:val="0083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9184">
      <w:bodyDiv w:val="1"/>
      <w:marLeft w:val="0"/>
      <w:marRight w:val="0"/>
      <w:marTop w:val="0"/>
      <w:marBottom w:val="0"/>
      <w:divBdr>
        <w:top w:val="none" w:sz="0" w:space="0" w:color="auto"/>
        <w:left w:val="none" w:sz="0" w:space="0" w:color="auto"/>
        <w:bottom w:val="none" w:sz="0" w:space="0" w:color="auto"/>
        <w:right w:val="none" w:sz="0" w:space="0" w:color="auto"/>
      </w:divBdr>
    </w:div>
    <w:div w:id="589047097">
      <w:bodyDiv w:val="1"/>
      <w:marLeft w:val="0"/>
      <w:marRight w:val="0"/>
      <w:marTop w:val="0"/>
      <w:marBottom w:val="0"/>
      <w:divBdr>
        <w:top w:val="none" w:sz="0" w:space="0" w:color="auto"/>
        <w:left w:val="none" w:sz="0" w:space="0" w:color="auto"/>
        <w:bottom w:val="none" w:sz="0" w:space="0" w:color="auto"/>
        <w:right w:val="none" w:sz="0" w:space="0" w:color="auto"/>
      </w:divBdr>
    </w:div>
    <w:div w:id="744844294">
      <w:bodyDiv w:val="1"/>
      <w:marLeft w:val="0"/>
      <w:marRight w:val="0"/>
      <w:marTop w:val="0"/>
      <w:marBottom w:val="0"/>
      <w:divBdr>
        <w:top w:val="none" w:sz="0" w:space="0" w:color="auto"/>
        <w:left w:val="none" w:sz="0" w:space="0" w:color="auto"/>
        <w:bottom w:val="none" w:sz="0" w:space="0" w:color="auto"/>
        <w:right w:val="none" w:sz="0" w:space="0" w:color="auto"/>
      </w:divBdr>
    </w:div>
    <w:div w:id="817264827">
      <w:bodyDiv w:val="1"/>
      <w:marLeft w:val="0"/>
      <w:marRight w:val="0"/>
      <w:marTop w:val="0"/>
      <w:marBottom w:val="0"/>
      <w:divBdr>
        <w:top w:val="none" w:sz="0" w:space="0" w:color="auto"/>
        <w:left w:val="none" w:sz="0" w:space="0" w:color="auto"/>
        <w:bottom w:val="none" w:sz="0" w:space="0" w:color="auto"/>
        <w:right w:val="none" w:sz="0" w:space="0" w:color="auto"/>
      </w:divBdr>
    </w:div>
    <w:div w:id="956450733">
      <w:bodyDiv w:val="1"/>
      <w:marLeft w:val="0"/>
      <w:marRight w:val="0"/>
      <w:marTop w:val="0"/>
      <w:marBottom w:val="0"/>
      <w:divBdr>
        <w:top w:val="none" w:sz="0" w:space="0" w:color="auto"/>
        <w:left w:val="none" w:sz="0" w:space="0" w:color="auto"/>
        <w:bottom w:val="none" w:sz="0" w:space="0" w:color="auto"/>
        <w:right w:val="none" w:sz="0" w:space="0" w:color="auto"/>
      </w:divBdr>
    </w:div>
    <w:div w:id="975526140">
      <w:bodyDiv w:val="1"/>
      <w:marLeft w:val="0"/>
      <w:marRight w:val="0"/>
      <w:marTop w:val="0"/>
      <w:marBottom w:val="0"/>
      <w:divBdr>
        <w:top w:val="none" w:sz="0" w:space="0" w:color="auto"/>
        <w:left w:val="none" w:sz="0" w:space="0" w:color="auto"/>
        <w:bottom w:val="none" w:sz="0" w:space="0" w:color="auto"/>
        <w:right w:val="none" w:sz="0" w:space="0" w:color="auto"/>
      </w:divBdr>
    </w:div>
    <w:div w:id="1001471271">
      <w:bodyDiv w:val="1"/>
      <w:marLeft w:val="0"/>
      <w:marRight w:val="0"/>
      <w:marTop w:val="0"/>
      <w:marBottom w:val="0"/>
      <w:divBdr>
        <w:top w:val="none" w:sz="0" w:space="0" w:color="auto"/>
        <w:left w:val="none" w:sz="0" w:space="0" w:color="auto"/>
        <w:bottom w:val="none" w:sz="0" w:space="0" w:color="auto"/>
        <w:right w:val="none" w:sz="0" w:space="0" w:color="auto"/>
      </w:divBdr>
    </w:div>
    <w:div w:id="1333292006">
      <w:marLeft w:val="0"/>
      <w:marRight w:val="0"/>
      <w:marTop w:val="0"/>
      <w:marBottom w:val="0"/>
      <w:divBdr>
        <w:top w:val="none" w:sz="0" w:space="0" w:color="auto"/>
        <w:left w:val="none" w:sz="0" w:space="0" w:color="auto"/>
        <w:bottom w:val="none" w:sz="0" w:space="0" w:color="auto"/>
        <w:right w:val="none" w:sz="0" w:space="0" w:color="auto"/>
      </w:divBdr>
    </w:div>
    <w:div w:id="1333292008">
      <w:marLeft w:val="0"/>
      <w:marRight w:val="0"/>
      <w:marTop w:val="0"/>
      <w:marBottom w:val="0"/>
      <w:divBdr>
        <w:top w:val="none" w:sz="0" w:space="0" w:color="auto"/>
        <w:left w:val="none" w:sz="0" w:space="0" w:color="auto"/>
        <w:bottom w:val="none" w:sz="0" w:space="0" w:color="auto"/>
        <w:right w:val="none" w:sz="0" w:space="0" w:color="auto"/>
      </w:divBdr>
    </w:div>
    <w:div w:id="1333292010">
      <w:marLeft w:val="0"/>
      <w:marRight w:val="0"/>
      <w:marTop w:val="0"/>
      <w:marBottom w:val="0"/>
      <w:divBdr>
        <w:top w:val="none" w:sz="0" w:space="0" w:color="auto"/>
        <w:left w:val="none" w:sz="0" w:space="0" w:color="auto"/>
        <w:bottom w:val="none" w:sz="0" w:space="0" w:color="auto"/>
        <w:right w:val="none" w:sz="0" w:space="0" w:color="auto"/>
      </w:divBdr>
    </w:div>
    <w:div w:id="1333292011">
      <w:marLeft w:val="0"/>
      <w:marRight w:val="0"/>
      <w:marTop w:val="0"/>
      <w:marBottom w:val="0"/>
      <w:divBdr>
        <w:top w:val="none" w:sz="0" w:space="0" w:color="auto"/>
        <w:left w:val="none" w:sz="0" w:space="0" w:color="auto"/>
        <w:bottom w:val="none" w:sz="0" w:space="0" w:color="auto"/>
        <w:right w:val="none" w:sz="0" w:space="0" w:color="auto"/>
      </w:divBdr>
    </w:div>
    <w:div w:id="1333292012">
      <w:marLeft w:val="0"/>
      <w:marRight w:val="0"/>
      <w:marTop w:val="0"/>
      <w:marBottom w:val="0"/>
      <w:divBdr>
        <w:top w:val="none" w:sz="0" w:space="0" w:color="auto"/>
        <w:left w:val="none" w:sz="0" w:space="0" w:color="auto"/>
        <w:bottom w:val="none" w:sz="0" w:space="0" w:color="auto"/>
        <w:right w:val="none" w:sz="0" w:space="0" w:color="auto"/>
      </w:divBdr>
      <w:divsChild>
        <w:div w:id="1333292009">
          <w:marLeft w:val="706"/>
          <w:marRight w:val="0"/>
          <w:marTop w:val="0"/>
          <w:marBottom w:val="220"/>
          <w:divBdr>
            <w:top w:val="none" w:sz="0" w:space="0" w:color="auto"/>
            <w:left w:val="none" w:sz="0" w:space="0" w:color="auto"/>
            <w:bottom w:val="none" w:sz="0" w:space="0" w:color="auto"/>
            <w:right w:val="none" w:sz="0" w:space="0" w:color="auto"/>
          </w:divBdr>
        </w:div>
        <w:div w:id="1333292013">
          <w:marLeft w:val="706"/>
          <w:marRight w:val="0"/>
          <w:marTop w:val="0"/>
          <w:marBottom w:val="220"/>
          <w:divBdr>
            <w:top w:val="none" w:sz="0" w:space="0" w:color="auto"/>
            <w:left w:val="none" w:sz="0" w:space="0" w:color="auto"/>
            <w:bottom w:val="none" w:sz="0" w:space="0" w:color="auto"/>
            <w:right w:val="none" w:sz="0" w:space="0" w:color="auto"/>
          </w:divBdr>
        </w:div>
      </w:divsChild>
    </w:div>
    <w:div w:id="1333292014">
      <w:marLeft w:val="0"/>
      <w:marRight w:val="0"/>
      <w:marTop w:val="0"/>
      <w:marBottom w:val="0"/>
      <w:divBdr>
        <w:top w:val="none" w:sz="0" w:space="0" w:color="auto"/>
        <w:left w:val="none" w:sz="0" w:space="0" w:color="auto"/>
        <w:bottom w:val="none" w:sz="0" w:space="0" w:color="auto"/>
        <w:right w:val="none" w:sz="0" w:space="0" w:color="auto"/>
      </w:divBdr>
      <w:divsChild>
        <w:div w:id="1333292005">
          <w:marLeft w:val="374"/>
          <w:marRight w:val="0"/>
          <w:marTop w:val="0"/>
          <w:marBottom w:val="220"/>
          <w:divBdr>
            <w:top w:val="none" w:sz="0" w:space="0" w:color="auto"/>
            <w:left w:val="none" w:sz="0" w:space="0" w:color="auto"/>
            <w:bottom w:val="none" w:sz="0" w:space="0" w:color="auto"/>
            <w:right w:val="none" w:sz="0" w:space="0" w:color="auto"/>
          </w:divBdr>
        </w:div>
      </w:divsChild>
    </w:div>
    <w:div w:id="1333292015">
      <w:marLeft w:val="0"/>
      <w:marRight w:val="0"/>
      <w:marTop w:val="0"/>
      <w:marBottom w:val="0"/>
      <w:divBdr>
        <w:top w:val="none" w:sz="0" w:space="0" w:color="auto"/>
        <w:left w:val="none" w:sz="0" w:space="0" w:color="auto"/>
        <w:bottom w:val="none" w:sz="0" w:space="0" w:color="auto"/>
        <w:right w:val="none" w:sz="0" w:space="0" w:color="auto"/>
      </w:divBdr>
      <w:divsChild>
        <w:div w:id="1333292007">
          <w:marLeft w:val="374"/>
          <w:marRight w:val="0"/>
          <w:marTop w:val="0"/>
          <w:marBottom w:val="220"/>
          <w:divBdr>
            <w:top w:val="none" w:sz="0" w:space="0" w:color="auto"/>
            <w:left w:val="none" w:sz="0" w:space="0" w:color="auto"/>
            <w:bottom w:val="none" w:sz="0" w:space="0" w:color="auto"/>
            <w:right w:val="none" w:sz="0" w:space="0" w:color="auto"/>
          </w:divBdr>
        </w:div>
      </w:divsChild>
    </w:div>
    <w:div w:id="1333292016">
      <w:marLeft w:val="0"/>
      <w:marRight w:val="0"/>
      <w:marTop w:val="0"/>
      <w:marBottom w:val="0"/>
      <w:divBdr>
        <w:top w:val="none" w:sz="0" w:space="0" w:color="auto"/>
        <w:left w:val="none" w:sz="0" w:space="0" w:color="auto"/>
        <w:bottom w:val="none" w:sz="0" w:space="0" w:color="auto"/>
        <w:right w:val="none" w:sz="0" w:space="0" w:color="auto"/>
      </w:divBdr>
    </w:div>
    <w:div w:id="1333292017">
      <w:marLeft w:val="0"/>
      <w:marRight w:val="0"/>
      <w:marTop w:val="0"/>
      <w:marBottom w:val="0"/>
      <w:divBdr>
        <w:top w:val="none" w:sz="0" w:space="0" w:color="auto"/>
        <w:left w:val="none" w:sz="0" w:space="0" w:color="auto"/>
        <w:bottom w:val="none" w:sz="0" w:space="0" w:color="auto"/>
        <w:right w:val="none" w:sz="0" w:space="0" w:color="auto"/>
      </w:divBdr>
    </w:div>
    <w:div w:id="1333292018">
      <w:marLeft w:val="0"/>
      <w:marRight w:val="0"/>
      <w:marTop w:val="0"/>
      <w:marBottom w:val="0"/>
      <w:divBdr>
        <w:top w:val="none" w:sz="0" w:space="0" w:color="auto"/>
        <w:left w:val="none" w:sz="0" w:space="0" w:color="auto"/>
        <w:bottom w:val="none" w:sz="0" w:space="0" w:color="auto"/>
        <w:right w:val="none" w:sz="0" w:space="0" w:color="auto"/>
      </w:divBdr>
    </w:div>
    <w:div w:id="1333292019">
      <w:marLeft w:val="0"/>
      <w:marRight w:val="0"/>
      <w:marTop w:val="0"/>
      <w:marBottom w:val="0"/>
      <w:divBdr>
        <w:top w:val="none" w:sz="0" w:space="0" w:color="auto"/>
        <w:left w:val="none" w:sz="0" w:space="0" w:color="auto"/>
        <w:bottom w:val="none" w:sz="0" w:space="0" w:color="auto"/>
        <w:right w:val="none" w:sz="0" w:space="0" w:color="auto"/>
      </w:divBdr>
    </w:div>
    <w:div w:id="1333292020">
      <w:marLeft w:val="0"/>
      <w:marRight w:val="0"/>
      <w:marTop w:val="0"/>
      <w:marBottom w:val="0"/>
      <w:divBdr>
        <w:top w:val="none" w:sz="0" w:space="0" w:color="auto"/>
        <w:left w:val="none" w:sz="0" w:space="0" w:color="auto"/>
        <w:bottom w:val="none" w:sz="0" w:space="0" w:color="auto"/>
        <w:right w:val="none" w:sz="0" w:space="0" w:color="auto"/>
      </w:divBdr>
      <w:divsChild>
        <w:div w:id="1333292004">
          <w:marLeft w:val="374"/>
          <w:marRight w:val="0"/>
          <w:marTop w:val="0"/>
          <w:marBottom w:val="220"/>
          <w:divBdr>
            <w:top w:val="none" w:sz="0" w:space="0" w:color="auto"/>
            <w:left w:val="none" w:sz="0" w:space="0" w:color="auto"/>
            <w:bottom w:val="none" w:sz="0" w:space="0" w:color="auto"/>
            <w:right w:val="none" w:sz="0" w:space="0" w:color="auto"/>
          </w:divBdr>
        </w:div>
      </w:divsChild>
    </w:div>
    <w:div w:id="1653019645">
      <w:bodyDiv w:val="1"/>
      <w:marLeft w:val="0"/>
      <w:marRight w:val="0"/>
      <w:marTop w:val="0"/>
      <w:marBottom w:val="0"/>
      <w:divBdr>
        <w:top w:val="none" w:sz="0" w:space="0" w:color="auto"/>
        <w:left w:val="none" w:sz="0" w:space="0" w:color="auto"/>
        <w:bottom w:val="none" w:sz="0" w:space="0" w:color="auto"/>
        <w:right w:val="none" w:sz="0" w:space="0" w:color="auto"/>
      </w:divBdr>
    </w:div>
    <w:div w:id="18113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razia.li@cofa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6A581FB-99A6-4688-AE8B-2EC951DA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3879</Characters>
  <Application>Microsoft Office Word</Application>
  <DocSecurity>0</DocSecurity>
  <Lines>32</Lines>
  <Paragraphs>9</Paragraphs>
  <ScaleCrop>false</ScaleCrop>
  <HeadingPairs>
    <vt:vector size="8" baseType="variant">
      <vt:variant>
        <vt:lpstr>Titre</vt:lpstr>
      </vt:variant>
      <vt:variant>
        <vt:i4>1</vt:i4>
      </vt:variant>
      <vt:variant>
        <vt:lpstr>Titolo</vt:lpstr>
      </vt:variant>
      <vt:variant>
        <vt:i4>1</vt:i4>
      </vt:variant>
      <vt:variant>
        <vt:lpstr>Título</vt:lpstr>
      </vt:variant>
      <vt:variant>
        <vt:i4>1</vt:i4>
      </vt:variant>
      <vt:variant>
        <vt:lpstr>Title</vt:lpstr>
      </vt:variant>
      <vt:variant>
        <vt:i4>1</vt:i4>
      </vt:variant>
    </vt:vector>
  </HeadingPairs>
  <TitlesOfParts>
    <vt:vector size="4" baseType="lpstr">
      <vt:lpstr>Paris, 21 janvier 2013</vt:lpstr>
      <vt:lpstr>Paris, 21 janvier 2013</vt:lpstr>
      <vt:lpstr>Paris, 21 janvier 2013</vt:lpstr>
      <vt:lpstr>Paris, 21 janvier 2013</vt:lpstr>
    </vt:vector>
  </TitlesOfParts>
  <Company>COFACE</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maria_krellenstein</dc:creator>
  <cp:lastModifiedBy>LI Grazia</cp:lastModifiedBy>
  <cp:revision>5</cp:revision>
  <cp:lastPrinted>2018-10-24T12:50:00Z</cp:lastPrinted>
  <dcterms:created xsi:type="dcterms:W3CDTF">2018-10-24T12:50:00Z</dcterms:created>
  <dcterms:modified xsi:type="dcterms:W3CDTF">2018-10-26T08:44:00Z</dcterms:modified>
</cp:coreProperties>
</file>